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FA33" w14:textId="31128904" w:rsidR="008E2DA8" w:rsidRDefault="008E2DA8" w:rsidP="000B2C94">
      <w:pPr>
        <w:spacing w:after="0" w:line="240" w:lineRule="auto"/>
        <w:jc w:val="center"/>
        <w:rPr>
          <w:rFonts w:ascii="Arial" w:hAnsi="Arial" w:cs="Arial"/>
          <w:b/>
          <w:bCs/>
        </w:rPr>
      </w:pPr>
    </w:p>
    <w:p w14:paraId="2F1F2EDA" w14:textId="77777777" w:rsidR="000B2C94" w:rsidRDefault="000B2C94" w:rsidP="000B2C94">
      <w:pPr>
        <w:spacing w:after="0" w:line="240" w:lineRule="auto"/>
        <w:jc w:val="center"/>
        <w:rPr>
          <w:rFonts w:ascii="Arial" w:hAnsi="Arial" w:cs="Arial"/>
          <w:b/>
          <w:bCs/>
        </w:rPr>
      </w:pPr>
    </w:p>
    <w:p w14:paraId="473C01EA" w14:textId="08C7DF8E" w:rsidR="00FD7587" w:rsidRPr="007F5922" w:rsidRDefault="00C97D84" w:rsidP="000B2C94">
      <w:pPr>
        <w:spacing w:after="0" w:line="240" w:lineRule="auto"/>
        <w:jc w:val="center"/>
        <w:rPr>
          <w:rFonts w:ascii="Arial" w:hAnsi="Arial" w:cs="Arial"/>
          <w:b/>
          <w:bCs/>
          <w:sz w:val="28"/>
          <w:szCs w:val="28"/>
        </w:rPr>
      </w:pPr>
      <w:r w:rsidRPr="007F5922">
        <w:rPr>
          <w:rFonts w:ascii="Arial" w:hAnsi="Arial" w:cs="Arial"/>
          <w:b/>
          <w:bCs/>
          <w:sz w:val="28"/>
          <w:szCs w:val="28"/>
        </w:rPr>
        <w:t>&lt;</w:t>
      </w:r>
      <w:r w:rsidRPr="007F5922">
        <w:rPr>
          <w:rFonts w:ascii="Arial" w:hAnsi="Arial" w:cs="Arial"/>
          <w:b/>
          <w:bCs/>
          <w:color w:val="FF0000"/>
          <w:sz w:val="28"/>
          <w:szCs w:val="28"/>
        </w:rPr>
        <w:t>insert stakeholder’s name</w:t>
      </w:r>
      <w:r w:rsidRPr="007F5922">
        <w:rPr>
          <w:rFonts w:ascii="Arial" w:hAnsi="Arial" w:cs="Arial"/>
          <w:b/>
          <w:bCs/>
          <w:sz w:val="28"/>
          <w:szCs w:val="28"/>
        </w:rPr>
        <w:t>&gt;</w:t>
      </w:r>
      <w:r w:rsidRPr="007F5922">
        <w:rPr>
          <w:rFonts w:ascii="Arial" w:hAnsi="Arial" w:cs="Arial"/>
          <w:b/>
          <w:bCs/>
        </w:rPr>
        <w:t xml:space="preserve"> </w:t>
      </w:r>
      <w:r w:rsidR="006D0823" w:rsidRPr="007F5922">
        <w:rPr>
          <w:rFonts w:ascii="Arial" w:hAnsi="Arial" w:cs="Arial"/>
          <w:b/>
          <w:bCs/>
          <w:sz w:val="28"/>
          <w:szCs w:val="28"/>
        </w:rPr>
        <w:t xml:space="preserve">Comments on </w:t>
      </w:r>
      <w:r w:rsidR="00F405C8" w:rsidRPr="007F5922">
        <w:rPr>
          <w:rFonts w:ascii="Arial" w:hAnsi="Arial" w:cs="Arial"/>
          <w:b/>
          <w:bCs/>
          <w:sz w:val="28"/>
          <w:szCs w:val="28"/>
        </w:rPr>
        <w:t xml:space="preserve">the </w:t>
      </w:r>
      <w:r w:rsidR="006D0823" w:rsidRPr="007F5922">
        <w:rPr>
          <w:rFonts w:ascii="Arial" w:hAnsi="Arial" w:cs="Arial"/>
          <w:b/>
          <w:bCs/>
          <w:sz w:val="28"/>
          <w:szCs w:val="28"/>
        </w:rPr>
        <w:t xml:space="preserve">Proposed </w:t>
      </w:r>
      <w:r w:rsidR="00841584" w:rsidRPr="007F5922">
        <w:rPr>
          <w:rFonts w:ascii="Arial" w:hAnsi="Arial" w:cs="Arial"/>
          <w:b/>
          <w:bCs/>
          <w:sz w:val="28"/>
          <w:szCs w:val="28"/>
        </w:rPr>
        <w:t>Departmen</w:t>
      </w:r>
      <w:r w:rsidR="008E2DA8" w:rsidRPr="007F5922">
        <w:rPr>
          <w:rFonts w:ascii="Arial" w:hAnsi="Arial" w:cs="Arial"/>
          <w:b/>
          <w:bCs/>
          <w:sz w:val="28"/>
          <w:szCs w:val="28"/>
        </w:rPr>
        <w:t>t</w:t>
      </w:r>
      <w:r w:rsidR="00336EBD" w:rsidRPr="007F5922">
        <w:rPr>
          <w:rFonts w:ascii="Arial" w:hAnsi="Arial" w:cs="Arial"/>
          <w:b/>
          <w:bCs/>
          <w:sz w:val="28"/>
          <w:szCs w:val="28"/>
        </w:rPr>
        <w:t xml:space="preserve"> Circular on </w:t>
      </w:r>
    </w:p>
    <w:p w14:paraId="68455BBC" w14:textId="65BA0726" w:rsidR="0017218C" w:rsidRPr="007F5922" w:rsidRDefault="00074573" w:rsidP="0017218C">
      <w:pPr>
        <w:spacing w:line="240" w:lineRule="auto"/>
        <w:ind w:right="39"/>
        <w:jc w:val="center"/>
        <w:rPr>
          <w:b/>
          <w:bCs/>
          <w:sz w:val="28"/>
          <w:szCs w:val="28"/>
        </w:rPr>
      </w:pPr>
      <w:r w:rsidRPr="007F5922">
        <w:rPr>
          <w:rFonts w:ascii="Arial" w:hAnsi="Arial" w:cs="Arial"/>
          <w:b/>
          <w:bCs/>
          <w:sz w:val="28"/>
          <w:szCs w:val="28"/>
        </w:rPr>
        <w:t>"</w:t>
      </w:r>
      <w:r w:rsidRPr="007F5922">
        <w:rPr>
          <w:rFonts w:ascii="Arial" w:hAnsi="Arial" w:cs="Arial"/>
          <w:b/>
          <w:bCs/>
          <w:sz w:val="24"/>
          <w:szCs w:val="24"/>
        </w:rPr>
        <w:t>PRESCRIBING THE GUIDELINES FOR THE OPT-IN MECHANISM UNDER GREEN ENERGY AUCTION PROGRAM IN THE PHILIPPINES</w:t>
      </w:r>
      <w:r w:rsidRPr="007F5922">
        <w:rPr>
          <w:b/>
          <w:bCs/>
          <w:sz w:val="28"/>
          <w:szCs w:val="28"/>
        </w:rPr>
        <w:t>”</w:t>
      </w:r>
    </w:p>
    <w:p w14:paraId="443CAE23" w14:textId="47DD1729" w:rsidR="008E2DA8" w:rsidRPr="007F5922" w:rsidRDefault="008E2DA8" w:rsidP="0017218C">
      <w:pPr>
        <w:spacing w:after="0" w:line="240" w:lineRule="auto"/>
        <w:jc w:val="center"/>
        <w:rPr>
          <w:rFonts w:ascii="Arial" w:hAnsi="Arial" w:cs="Arial"/>
        </w:rPr>
      </w:pPr>
    </w:p>
    <w:tbl>
      <w:tblPr>
        <w:tblStyle w:val="TableGrid"/>
        <w:tblW w:w="14663" w:type="dxa"/>
        <w:tblInd w:w="1129" w:type="dxa"/>
        <w:tblLook w:val="04A0" w:firstRow="1" w:lastRow="0" w:firstColumn="1" w:lastColumn="0" w:noHBand="0" w:noVBand="1"/>
      </w:tblPr>
      <w:tblGrid>
        <w:gridCol w:w="4542"/>
        <w:gridCol w:w="5144"/>
        <w:gridCol w:w="4977"/>
      </w:tblGrid>
      <w:tr w:rsidR="00C97D84" w:rsidRPr="007F5922" w14:paraId="250AB371" w14:textId="1798CFFF" w:rsidTr="006818EF">
        <w:trPr>
          <w:trHeight w:val="395"/>
        </w:trPr>
        <w:tc>
          <w:tcPr>
            <w:tcW w:w="4542" w:type="dxa"/>
            <w:vAlign w:val="center"/>
          </w:tcPr>
          <w:p w14:paraId="5327084D" w14:textId="7FF6B440" w:rsidR="00C97D84" w:rsidRPr="007F5922" w:rsidRDefault="00C97D84" w:rsidP="002A07D0">
            <w:pPr>
              <w:jc w:val="center"/>
              <w:rPr>
                <w:rFonts w:ascii="Arial" w:hAnsi="Arial" w:cs="Arial"/>
                <w:b/>
                <w:bCs/>
              </w:rPr>
            </w:pPr>
            <w:r w:rsidRPr="007F5922">
              <w:rPr>
                <w:rFonts w:ascii="Arial" w:hAnsi="Arial" w:cs="Arial"/>
                <w:b/>
                <w:bCs/>
              </w:rPr>
              <w:t>Section</w:t>
            </w:r>
          </w:p>
        </w:tc>
        <w:tc>
          <w:tcPr>
            <w:tcW w:w="5144" w:type="dxa"/>
            <w:vAlign w:val="center"/>
          </w:tcPr>
          <w:p w14:paraId="1B7650E9" w14:textId="6D26B2A4" w:rsidR="00C97D84" w:rsidRPr="007F5922" w:rsidRDefault="00C97D84" w:rsidP="002A07D0">
            <w:pPr>
              <w:jc w:val="center"/>
              <w:rPr>
                <w:rFonts w:ascii="Arial" w:hAnsi="Arial" w:cs="Arial"/>
                <w:b/>
                <w:bCs/>
              </w:rPr>
            </w:pPr>
            <w:r w:rsidRPr="007F5922">
              <w:rPr>
                <w:rFonts w:ascii="Arial" w:hAnsi="Arial" w:cs="Arial"/>
                <w:b/>
                <w:bCs/>
              </w:rPr>
              <w:t>Comments/ Recommendations</w:t>
            </w:r>
          </w:p>
        </w:tc>
        <w:tc>
          <w:tcPr>
            <w:tcW w:w="4977" w:type="dxa"/>
            <w:vAlign w:val="center"/>
          </w:tcPr>
          <w:p w14:paraId="5C702A00" w14:textId="1C93CCDB" w:rsidR="00C97D84" w:rsidRPr="007F5922" w:rsidRDefault="00C97D84" w:rsidP="008E2DA8">
            <w:pPr>
              <w:jc w:val="center"/>
              <w:rPr>
                <w:rFonts w:ascii="Arial" w:hAnsi="Arial" w:cs="Arial"/>
                <w:b/>
                <w:bCs/>
              </w:rPr>
            </w:pPr>
            <w:r w:rsidRPr="007F5922">
              <w:rPr>
                <w:rFonts w:ascii="Arial" w:hAnsi="Arial" w:cs="Arial"/>
                <w:b/>
                <w:bCs/>
              </w:rPr>
              <w:t>Proposed/ Suggested Revisions</w:t>
            </w:r>
          </w:p>
        </w:tc>
      </w:tr>
      <w:tr w:rsidR="00C97D84" w:rsidRPr="007F5922" w14:paraId="219FB7F3" w14:textId="4D49580B" w:rsidTr="006818EF">
        <w:trPr>
          <w:trHeight w:val="1115"/>
        </w:trPr>
        <w:tc>
          <w:tcPr>
            <w:tcW w:w="4542" w:type="dxa"/>
          </w:tcPr>
          <w:p w14:paraId="5090AA1A" w14:textId="77777777" w:rsidR="007F5922" w:rsidRPr="007F5922" w:rsidRDefault="007F5922" w:rsidP="007F5922">
            <w:pPr>
              <w:ind w:right="39"/>
              <w:contextualSpacing/>
              <w:jc w:val="both"/>
              <w:rPr>
                <w:rFonts w:ascii="Arial" w:hAnsi="Arial" w:cs="Arial"/>
                <w:sz w:val="24"/>
                <w:szCs w:val="24"/>
              </w:rPr>
            </w:pPr>
            <w:r w:rsidRPr="007F5922">
              <w:rPr>
                <w:rFonts w:ascii="Arial" w:hAnsi="Arial" w:cs="Arial"/>
                <w:b/>
                <w:sz w:val="24"/>
                <w:szCs w:val="24"/>
              </w:rPr>
              <w:t>WHEREAS</w:t>
            </w:r>
            <w:r w:rsidRPr="007F5922">
              <w:rPr>
                <w:rFonts w:ascii="Arial" w:hAnsi="Arial" w:cs="Arial"/>
                <w:sz w:val="24"/>
                <w:szCs w:val="24"/>
              </w:rPr>
              <w:t xml:space="preserve">, Republic Act No. 9513, otherwise known as the “Renewable Energy Act of 2008” or the “RE Act,” declares the policy of the State to increase the utilization of RE by institutionalizing the development of national and local capabilities in the use of RE systems, and promoting its efficient and cost-effective commercial application by providing fiscal and non-fiscal </w:t>
            </w:r>
            <w:proofErr w:type="gramStart"/>
            <w:r w:rsidRPr="007F5922">
              <w:rPr>
                <w:rFonts w:ascii="Arial" w:hAnsi="Arial" w:cs="Arial"/>
                <w:sz w:val="24"/>
                <w:szCs w:val="24"/>
              </w:rPr>
              <w:t>incentives;</w:t>
            </w:r>
            <w:proofErr w:type="gramEnd"/>
          </w:p>
          <w:p w14:paraId="3AA15155" w14:textId="75170DB0" w:rsidR="00C97D84" w:rsidRPr="007F5922" w:rsidRDefault="00C97D84" w:rsidP="0093203B">
            <w:pPr>
              <w:jc w:val="both"/>
              <w:rPr>
                <w:rFonts w:ascii="Arial" w:hAnsi="Arial" w:cs="Arial"/>
              </w:rPr>
            </w:pPr>
          </w:p>
        </w:tc>
        <w:tc>
          <w:tcPr>
            <w:tcW w:w="5144" w:type="dxa"/>
          </w:tcPr>
          <w:p w14:paraId="4E5EB056" w14:textId="77777777" w:rsidR="00C97D84" w:rsidRPr="007F5922" w:rsidRDefault="00C97D84" w:rsidP="002F6EA0">
            <w:pPr>
              <w:jc w:val="center"/>
              <w:rPr>
                <w:rFonts w:ascii="Arial" w:hAnsi="Arial" w:cs="Arial"/>
              </w:rPr>
            </w:pPr>
          </w:p>
        </w:tc>
        <w:tc>
          <w:tcPr>
            <w:tcW w:w="4977" w:type="dxa"/>
          </w:tcPr>
          <w:p w14:paraId="11C371D8" w14:textId="77777777" w:rsidR="00C97D84" w:rsidRPr="007F5922" w:rsidRDefault="00C97D84" w:rsidP="002F6EA0">
            <w:pPr>
              <w:jc w:val="center"/>
              <w:rPr>
                <w:rFonts w:ascii="Arial" w:hAnsi="Arial" w:cs="Arial"/>
              </w:rPr>
            </w:pPr>
          </w:p>
        </w:tc>
      </w:tr>
      <w:tr w:rsidR="00C97D84" w:rsidRPr="007F5922" w14:paraId="240020DE" w14:textId="2A26B28F" w:rsidTr="007F5922">
        <w:trPr>
          <w:trHeight w:val="881"/>
        </w:trPr>
        <w:tc>
          <w:tcPr>
            <w:tcW w:w="4542" w:type="dxa"/>
            <w:vAlign w:val="center"/>
          </w:tcPr>
          <w:p w14:paraId="7EB42B0D" w14:textId="77777777" w:rsidR="007F5922" w:rsidRPr="007F5922" w:rsidRDefault="007F5922" w:rsidP="007F5922">
            <w:pPr>
              <w:ind w:right="39"/>
              <w:contextualSpacing/>
              <w:jc w:val="both"/>
              <w:rPr>
                <w:rFonts w:ascii="Arial" w:hAnsi="Arial" w:cs="Arial"/>
                <w:b/>
                <w:sz w:val="24"/>
                <w:szCs w:val="24"/>
              </w:rPr>
            </w:pPr>
            <w:proofErr w:type="gramStart"/>
            <w:r w:rsidRPr="007F5922">
              <w:rPr>
                <w:rFonts w:ascii="Arial" w:hAnsi="Arial" w:cs="Arial"/>
                <w:b/>
                <w:sz w:val="24"/>
                <w:szCs w:val="24"/>
              </w:rPr>
              <w:t>WHEREAS</w:t>
            </w:r>
            <w:r w:rsidRPr="007F5922">
              <w:rPr>
                <w:rFonts w:ascii="Arial" w:hAnsi="Arial" w:cs="Arial"/>
                <w:sz w:val="24"/>
                <w:szCs w:val="24"/>
              </w:rPr>
              <w:t>,</w:t>
            </w:r>
            <w:proofErr w:type="gramEnd"/>
            <w:r w:rsidRPr="007F5922">
              <w:rPr>
                <w:rFonts w:ascii="Arial" w:hAnsi="Arial" w:cs="Arial"/>
                <w:sz w:val="24"/>
                <w:szCs w:val="24"/>
              </w:rPr>
              <w:t xml:space="preserve"> Section 5 of the RE Act designates the DOE as the lead agency mandated to implement the provisions thereof;</w:t>
            </w:r>
          </w:p>
          <w:p w14:paraId="60E487BC" w14:textId="77777777" w:rsidR="007F5922" w:rsidRPr="007F5922" w:rsidRDefault="007F5922" w:rsidP="007F5922">
            <w:pPr>
              <w:ind w:right="39"/>
              <w:contextualSpacing/>
              <w:jc w:val="both"/>
              <w:rPr>
                <w:rFonts w:ascii="Arial" w:hAnsi="Arial" w:cs="Arial"/>
                <w:b/>
                <w:sz w:val="24"/>
                <w:szCs w:val="24"/>
              </w:rPr>
            </w:pPr>
          </w:p>
          <w:p w14:paraId="3A38146F" w14:textId="77777777" w:rsidR="007F5922" w:rsidRPr="007F5922" w:rsidRDefault="007F5922" w:rsidP="007F5922">
            <w:pPr>
              <w:ind w:right="39"/>
              <w:contextualSpacing/>
              <w:jc w:val="both"/>
              <w:rPr>
                <w:rFonts w:ascii="Arial" w:hAnsi="Arial" w:cs="Arial"/>
                <w:bCs/>
                <w:sz w:val="24"/>
                <w:szCs w:val="24"/>
              </w:rPr>
            </w:pPr>
            <w:r w:rsidRPr="007F5922">
              <w:rPr>
                <w:rFonts w:ascii="Arial" w:hAnsi="Arial" w:cs="Arial"/>
                <w:b/>
                <w:sz w:val="24"/>
                <w:szCs w:val="24"/>
              </w:rPr>
              <w:t>WHEREAS</w:t>
            </w:r>
            <w:r w:rsidRPr="007F5922">
              <w:rPr>
                <w:rFonts w:ascii="Arial" w:hAnsi="Arial" w:cs="Arial"/>
                <w:bCs/>
                <w:sz w:val="24"/>
                <w:szCs w:val="24"/>
              </w:rPr>
              <w:t>, in pursuit of its mandates under the RE Act, the DOE promulgated on 19 November 2021 Department Circular No. DC2021-11-0036, otherwise known as “</w:t>
            </w:r>
            <w:r w:rsidRPr="007F5922">
              <w:rPr>
                <w:rFonts w:ascii="Arial" w:hAnsi="Arial" w:cs="Arial"/>
                <w:b/>
                <w:i/>
                <w:iCs/>
                <w:sz w:val="24"/>
                <w:szCs w:val="24"/>
              </w:rPr>
              <w:t>Providing the Revised Guidelines for the Green Energy Auction Program in the Philippines</w:t>
            </w:r>
            <w:r w:rsidRPr="007F5922">
              <w:rPr>
                <w:rFonts w:ascii="Arial" w:hAnsi="Arial" w:cs="Arial"/>
                <w:bCs/>
                <w:sz w:val="24"/>
                <w:szCs w:val="24"/>
              </w:rPr>
              <w:t>” or the “</w:t>
            </w:r>
            <w:r w:rsidRPr="007F5922">
              <w:rPr>
                <w:rFonts w:ascii="Arial" w:hAnsi="Arial" w:cs="Arial"/>
                <w:b/>
                <w:i/>
                <w:iCs/>
                <w:sz w:val="24"/>
                <w:szCs w:val="24"/>
              </w:rPr>
              <w:t>GEAP Guidelines</w:t>
            </w:r>
            <w:r w:rsidRPr="007F5922">
              <w:rPr>
                <w:rFonts w:ascii="Arial" w:hAnsi="Arial" w:cs="Arial"/>
                <w:bCs/>
                <w:sz w:val="24"/>
                <w:szCs w:val="24"/>
              </w:rPr>
              <w:t xml:space="preserve">”, which is intended to support and/or facilitate immediate and timely investments in new or additional RE capacities to ensure the provision of adequate supply </w:t>
            </w:r>
            <w:r w:rsidRPr="007F5922">
              <w:rPr>
                <w:rFonts w:ascii="Arial" w:hAnsi="Arial" w:cs="Arial"/>
                <w:bCs/>
                <w:sz w:val="24"/>
                <w:szCs w:val="24"/>
              </w:rPr>
              <w:lastRenderedPageBreak/>
              <w:t xml:space="preserve">and competitive rates of electricity in the </w:t>
            </w:r>
            <w:proofErr w:type="gramStart"/>
            <w:r w:rsidRPr="007F5922">
              <w:rPr>
                <w:rFonts w:ascii="Arial" w:hAnsi="Arial" w:cs="Arial"/>
                <w:bCs/>
                <w:sz w:val="24"/>
                <w:szCs w:val="24"/>
              </w:rPr>
              <w:t>country;</w:t>
            </w:r>
            <w:proofErr w:type="gramEnd"/>
          </w:p>
          <w:p w14:paraId="0FB5D5B2" w14:textId="36A70737" w:rsidR="00C97D84" w:rsidRPr="007F5922" w:rsidRDefault="00C97D84" w:rsidP="00377AFE">
            <w:pPr>
              <w:tabs>
                <w:tab w:val="left" w:pos="188"/>
              </w:tabs>
              <w:ind w:left="720"/>
              <w:jc w:val="both"/>
              <w:rPr>
                <w:rFonts w:ascii="Arial" w:hAnsi="Arial" w:cs="Arial"/>
              </w:rPr>
            </w:pPr>
          </w:p>
        </w:tc>
        <w:tc>
          <w:tcPr>
            <w:tcW w:w="5144" w:type="dxa"/>
          </w:tcPr>
          <w:p w14:paraId="516B7F51" w14:textId="77777777" w:rsidR="00C97D84" w:rsidRPr="007F5922" w:rsidRDefault="00C97D84" w:rsidP="002F6EA0">
            <w:pPr>
              <w:jc w:val="center"/>
              <w:rPr>
                <w:rFonts w:ascii="Arial" w:hAnsi="Arial" w:cs="Arial"/>
              </w:rPr>
            </w:pPr>
          </w:p>
        </w:tc>
        <w:tc>
          <w:tcPr>
            <w:tcW w:w="4977" w:type="dxa"/>
          </w:tcPr>
          <w:p w14:paraId="299CF0E4" w14:textId="77777777" w:rsidR="00C97D84" w:rsidRPr="007F5922" w:rsidRDefault="00C97D84" w:rsidP="002F6EA0">
            <w:pPr>
              <w:jc w:val="center"/>
              <w:rPr>
                <w:rFonts w:ascii="Arial" w:hAnsi="Arial" w:cs="Arial"/>
              </w:rPr>
            </w:pPr>
          </w:p>
        </w:tc>
      </w:tr>
      <w:tr w:rsidR="00C97D84" w:rsidRPr="007F5922" w14:paraId="2E20D9AF" w14:textId="5D0E021C" w:rsidTr="006818EF">
        <w:trPr>
          <w:trHeight w:val="1430"/>
        </w:trPr>
        <w:tc>
          <w:tcPr>
            <w:tcW w:w="4542" w:type="dxa"/>
            <w:vAlign w:val="center"/>
          </w:tcPr>
          <w:p w14:paraId="5A4EBC68" w14:textId="77777777" w:rsidR="007F5922" w:rsidRPr="007F5922" w:rsidRDefault="007F5922" w:rsidP="007F5922">
            <w:pPr>
              <w:ind w:right="39"/>
              <w:contextualSpacing/>
              <w:jc w:val="both"/>
              <w:rPr>
                <w:rFonts w:ascii="Arial" w:hAnsi="Arial" w:cs="Arial"/>
                <w:bCs/>
                <w:sz w:val="24"/>
                <w:szCs w:val="24"/>
              </w:rPr>
            </w:pPr>
            <w:r w:rsidRPr="007F5922">
              <w:rPr>
                <w:rFonts w:ascii="Arial" w:hAnsi="Arial" w:cs="Arial"/>
                <w:b/>
                <w:sz w:val="24"/>
                <w:szCs w:val="24"/>
              </w:rPr>
              <w:t>WHEREAS</w:t>
            </w:r>
            <w:r w:rsidRPr="007F5922">
              <w:rPr>
                <w:rFonts w:ascii="Arial" w:hAnsi="Arial" w:cs="Arial"/>
                <w:bCs/>
                <w:sz w:val="24"/>
                <w:szCs w:val="24"/>
              </w:rPr>
              <w:t xml:space="preserve">, under Section 10 of </w:t>
            </w:r>
            <w:r w:rsidRPr="007F5922">
              <w:rPr>
                <w:rFonts w:ascii="Arial" w:hAnsi="Arial" w:cs="Arial"/>
                <w:sz w:val="24"/>
                <w:szCs w:val="24"/>
              </w:rPr>
              <w:t xml:space="preserve">the GEAP Guidelines, the DOE shall issue the guidelines for the Opt-in Mechanism, which aims to lessen the charges under the Feed-in-Tariff system over time by enabling direct contracting of the RPS Mandated Participants from the GEAP </w:t>
            </w:r>
            <w:proofErr w:type="gramStart"/>
            <w:r w:rsidRPr="007F5922">
              <w:rPr>
                <w:rFonts w:ascii="Arial" w:hAnsi="Arial" w:cs="Arial"/>
                <w:sz w:val="24"/>
                <w:szCs w:val="24"/>
              </w:rPr>
              <w:t>pool;</w:t>
            </w:r>
            <w:proofErr w:type="gramEnd"/>
          </w:p>
          <w:p w14:paraId="16077020" w14:textId="127F918C" w:rsidR="00C97D84" w:rsidRPr="007F5922" w:rsidRDefault="00C97D84" w:rsidP="00C97D84">
            <w:pPr>
              <w:jc w:val="both"/>
              <w:rPr>
                <w:rFonts w:ascii="Arial" w:hAnsi="Arial" w:cs="Arial"/>
              </w:rPr>
            </w:pPr>
          </w:p>
        </w:tc>
        <w:tc>
          <w:tcPr>
            <w:tcW w:w="5144" w:type="dxa"/>
          </w:tcPr>
          <w:p w14:paraId="63E39D92" w14:textId="77777777" w:rsidR="00C97D84" w:rsidRPr="007F5922" w:rsidRDefault="00C97D84" w:rsidP="002F6EA0">
            <w:pPr>
              <w:jc w:val="center"/>
              <w:rPr>
                <w:rFonts w:ascii="Arial" w:hAnsi="Arial" w:cs="Arial"/>
              </w:rPr>
            </w:pPr>
          </w:p>
        </w:tc>
        <w:tc>
          <w:tcPr>
            <w:tcW w:w="4977" w:type="dxa"/>
          </w:tcPr>
          <w:p w14:paraId="7D73E22E" w14:textId="77777777" w:rsidR="00C97D84" w:rsidRPr="007F5922" w:rsidRDefault="00C97D84" w:rsidP="002F6EA0">
            <w:pPr>
              <w:jc w:val="center"/>
              <w:rPr>
                <w:rFonts w:ascii="Arial" w:hAnsi="Arial" w:cs="Arial"/>
              </w:rPr>
            </w:pPr>
          </w:p>
        </w:tc>
      </w:tr>
      <w:tr w:rsidR="00C97D84" w:rsidRPr="007F5922" w14:paraId="31B69615" w14:textId="6CB6FDA3" w:rsidTr="006818EF">
        <w:trPr>
          <w:trHeight w:val="1160"/>
        </w:trPr>
        <w:tc>
          <w:tcPr>
            <w:tcW w:w="4542" w:type="dxa"/>
            <w:vAlign w:val="center"/>
          </w:tcPr>
          <w:p w14:paraId="34918F79" w14:textId="77777777" w:rsidR="007F5922" w:rsidRPr="007F5922" w:rsidRDefault="007F5922" w:rsidP="007F5922">
            <w:pPr>
              <w:ind w:right="39"/>
              <w:contextualSpacing/>
              <w:jc w:val="both"/>
              <w:rPr>
                <w:rFonts w:ascii="Arial" w:hAnsi="Arial" w:cs="Arial"/>
                <w:sz w:val="24"/>
                <w:szCs w:val="24"/>
              </w:rPr>
            </w:pPr>
            <w:r w:rsidRPr="007F5922">
              <w:rPr>
                <w:rFonts w:ascii="Arial" w:hAnsi="Arial" w:cs="Arial"/>
                <w:b/>
                <w:sz w:val="24"/>
                <w:szCs w:val="24"/>
              </w:rPr>
              <w:t>WHEREAS</w:t>
            </w:r>
            <w:r w:rsidRPr="007F5922">
              <w:rPr>
                <w:rFonts w:ascii="Arial" w:hAnsi="Arial" w:cs="Arial"/>
                <w:sz w:val="24"/>
                <w:szCs w:val="24"/>
              </w:rPr>
              <w:t xml:space="preserve">, the DOE has determined that the competitive bidding process under the GEAP is one of the best ways to accelerate the development of RE resources as well as increase the investments in RE and other energy activities, and provide adequate capacity to meet demand including grid reserve </w:t>
            </w:r>
            <w:proofErr w:type="gramStart"/>
            <w:r w:rsidRPr="007F5922">
              <w:rPr>
                <w:rFonts w:ascii="Arial" w:hAnsi="Arial" w:cs="Arial"/>
                <w:sz w:val="24"/>
                <w:szCs w:val="24"/>
              </w:rPr>
              <w:t>requirements;</w:t>
            </w:r>
            <w:proofErr w:type="gramEnd"/>
          </w:p>
          <w:p w14:paraId="2214D3B8" w14:textId="33959E0F" w:rsidR="00C97D84" w:rsidRPr="007F5922" w:rsidRDefault="00C97D84" w:rsidP="00E73808">
            <w:pPr>
              <w:ind w:left="720"/>
              <w:rPr>
                <w:rFonts w:ascii="Arial" w:hAnsi="Arial" w:cs="Arial"/>
                <w:color w:val="000000"/>
              </w:rPr>
            </w:pPr>
          </w:p>
        </w:tc>
        <w:tc>
          <w:tcPr>
            <w:tcW w:w="5144" w:type="dxa"/>
          </w:tcPr>
          <w:p w14:paraId="055890C5" w14:textId="77777777" w:rsidR="00C97D84" w:rsidRPr="007F5922" w:rsidRDefault="00C97D84" w:rsidP="002F6EA0">
            <w:pPr>
              <w:jc w:val="center"/>
              <w:rPr>
                <w:rFonts w:ascii="Arial" w:hAnsi="Arial" w:cs="Arial"/>
              </w:rPr>
            </w:pPr>
          </w:p>
        </w:tc>
        <w:tc>
          <w:tcPr>
            <w:tcW w:w="4977" w:type="dxa"/>
          </w:tcPr>
          <w:p w14:paraId="432D52AC" w14:textId="77777777" w:rsidR="00C97D84" w:rsidRPr="007F5922" w:rsidRDefault="00C97D84" w:rsidP="002F6EA0">
            <w:pPr>
              <w:jc w:val="center"/>
              <w:rPr>
                <w:rFonts w:ascii="Arial" w:hAnsi="Arial" w:cs="Arial"/>
              </w:rPr>
            </w:pPr>
          </w:p>
        </w:tc>
      </w:tr>
      <w:tr w:rsidR="00C97D84" w:rsidRPr="007F5922" w14:paraId="53C18182" w14:textId="19234372" w:rsidTr="006818EF">
        <w:trPr>
          <w:trHeight w:val="1610"/>
        </w:trPr>
        <w:tc>
          <w:tcPr>
            <w:tcW w:w="4542" w:type="dxa"/>
          </w:tcPr>
          <w:p w14:paraId="6991B58D" w14:textId="77777777" w:rsidR="007F5922" w:rsidRPr="007F5922" w:rsidRDefault="007F5922" w:rsidP="007F5922">
            <w:pPr>
              <w:ind w:right="39"/>
              <w:contextualSpacing/>
              <w:jc w:val="both"/>
              <w:rPr>
                <w:rFonts w:ascii="Arial" w:hAnsi="Arial" w:cs="Arial"/>
                <w:sz w:val="24"/>
                <w:szCs w:val="24"/>
              </w:rPr>
            </w:pPr>
            <w:proofErr w:type="gramStart"/>
            <w:r w:rsidRPr="007F5922">
              <w:rPr>
                <w:rFonts w:ascii="Arial" w:hAnsi="Arial" w:cs="Arial"/>
                <w:b/>
                <w:bCs/>
                <w:sz w:val="24"/>
                <w:szCs w:val="24"/>
              </w:rPr>
              <w:t>WHEREAS</w:t>
            </w:r>
            <w:r w:rsidRPr="007F5922">
              <w:rPr>
                <w:rFonts w:ascii="Arial" w:hAnsi="Arial" w:cs="Arial"/>
                <w:sz w:val="24"/>
                <w:szCs w:val="24"/>
              </w:rPr>
              <w:t>,</w:t>
            </w:r>
            <w:proofErr w:type="gramEnd"/>
            <w:r w:rsidRPr="007F5922">
              <w:rPr>
                <w:rFonts w:ascii="Arial" w:hAnsi="Arial" w:cs="Arial"/>
                <w:sz w:val="24"/>
                <w:szCs w:val="24"/>
              </w:rPr>
              <w:t xml:space="preserve"> the DOE conducted virtual public consultations on the draft Opt-In Mechanism Guidelines on 18 and 21 March 2022 covering Luzon and Visayas stakeholders, and Mindanao stakeholders, respectively; </w:t>
            </w:r>
          </w:p>
          <w:p w14:paraId="74D0F531" w14:textId="73AA34A5" w:rsidR="00C97D84" w:rsidRPr="007F5922" w:rsidRDefault="00C97D84" w:rsidP="00A57FA7">
            <w:pPr>
              <w:tabs>
                <w:tab w:val="left" w:pos="244"/>
              </w:tabs>
              <w:ind w:left="720"/>
              <w:jc w:val="both"/>
              <w:rPr>
                <w:rFonts w:ascii="Arial" w:hAnsi="Arial" w:cs="Arial"/>
                <w:color w:val="000000"/>
              </w:rPr>
            </w:pPr>
          </w:p>
        </w:tc>
        <w:tc>
          <w:tcPr>
            <w:tcW w:w="5144" w:type="dxa"/>
          </w:tcPr>
          <w:p w14:paraId="3E6F6D51" w14:textId="77777777" w:rsidR="00C97D84" w:rsidRPr="007F5922" w:rsidRDefault="00C97D84" w:rsidP="002F6EA0">
            <w:pPr>
              <w:jc w:val="center"/>
              <w:rPr>
                <w:rFonts w:ascii="Arial" w:hAnsi="Arial" w:cs="Arial"/>
              </w:rPr>
            </w:pPr>
          </w:p>
        </w:tc>
        <w:tc>
          <w:tcPr>
            <w:tcW w:w="4977" w:type="dxa"/>
          </w:tcPr>
          <w:p w14:paraId="78DF28CE" w14:textId="77777777" w:rsidR="00C97D84" w:rsidRPr="007F5922" w:rsidRDefault="00C97D84" w:rsidP="002F6EA0">
            <w:pPr>
              <w:jc w:val="center"/>
              <w:rPr>
                <w:rFonts w:ascii="Arial" w:hAnsi="Arial" w:cs="Arial"/>
              </w:rPr>
            </w:pPr>
          </w:p>
        </w:tc>
      </w:tr>
      <w:tr w:rsidR="00C97D84" w:rsidRPr="007F5922" w14:paraId="217F9CE0" w14:textId="04DB230F" w:rsidTr="006818EF">
        <w:trPr>
          <w:trHeight w:val="229"/>
        </w:trPr>
        <w:tc>
          <w:tcPr>
            <w:tcW w:w="4542" w:type="dxa"/>
          </w:tcPr>
          <w:p w14:paraId="2D4442F0" w14:textId="77777777" w:rsidR="007F5922" w:rsidRPr="007F5922" w:rsidRDefault="007F5922" w:rsidP="007F5922">
            <w:pPr>
              <w:ind w:right="39"/>
              <w:contextualSpacing/>
              <w:jc w:val="both"/>
              <w:rPr>
                <w:rFonts w:ascii="Arial" w:hAnsi="Arial" w:cs="Arial"/>
                <w:sz w:val="24"/>
                <w:szCs w:val="24"/>
              </w:rPr>
            </w:pPr>
            <w:r w:rsidRPr="007F5922">
              <w:rPr>
                <w:rFonts w:ascii="Arial" w:hAnsi="Arial" w:cs="Arial"/>
                <w:b/>
                <w:sz w:val="24"/>
                <w:szCs w:val="24"/>
              </w:rPr>
              <w:t>NOW, THEREFORE</w:t>
            </w:r>
            <w:r w:rsidRPr="007F5922">
              <w:rPr>
                <w:rFonts w:ascii="Arial" w:hAnsi="Arial" w:cs="Arial"/>
                <w:sz w:val="24"/>
                <w:szCs w:val="24"/>
              </w:rPr>
              <w:t>, in consideration of the foregoing, the DOE hereby issues and promulgates the guidelines to implement the Opt-in Mechanism to supplement the implementation of the GEAP.</w:t>
            </w:r>
          </w:p>
          <w:p w14:paraId="2EC8CE06" w14:textId="77777777" w:rsidR="007F5922" w:rsidRPr="007F5922" w:rsidRDefault="007F5922" w:rsidP="007F5922">
            <w:pPr>
              <w:ind w:right="39"/>
              <w:contextualSpacing/>
              <w:jc w:val="both"/>
              <w:rPr>
                <w:rFonts w:ascii="Arial" w:hAnsi="Arial" w:cs="Arial"/>
                <w:b/>
                <w:sz w:val="24"/>
                <w:szCs w:val="24"/>
              </w:rPr>
            </w:pPr>
          </w:p>
          <w:p w14:paraId="6894980A" w14:textId="77777777" w:rsidR="007F5922" w:rsidRPr="007F5922" w:rsidRDefault="007F5922" w:rsidP="007F5922">
            <w:pPr>
              <w:ind w:right="39"/>
              <w:contextualSpacing/>
              <w:jc w:val="both"/>
              <w:rPr>
                <w:rFonts w:ascii="Arial" w:hAnsi="Arial" w:cs="Arial"/>
                <w:sz w:val="24"/>
                <w:szCs w:val="24"/>
              </w:rPr>
            </w:pPr>
            <w:r w:rsidRPr="007F5922">
              <w:rPr>
                <w:rFonts w:ascii="Arial" w:hAnsi="Arial" w:cs="Arial"/>
                <w:b/>
                <w:sz w:val="24"/>
                <w:szCs w:val="24"/>
              </w:rPr>
              <w:lastRenderedPageBreak/>
              <w:t>Section 1.</w:t>
            </w:r>
            <w:r w:rsidRPr="007F5922">
              <w:rPr>
                <w:rFonts w:ascii="Arial" w:hAnsi="Arial" w:cs="Arial"/>
                <w:b/>
                <w:sz w:val="24"/>
                <w:szCs w:val="24"/>
              </w:rPr>
              <w:tab/>
              <w:t xml:space="preserve">  Title.  </w:t>
            </w:r>
            <w:r w:rsidRPr="007F5922">
              <w:rPr>
                <w:rFonts w:ascii="Arial" w:hAnsi="Arial" w:cs="Arial"/>
                <w:sz w:val="24"/>
                <w:szCs w:val="24"/>
              </w:rPr>
              <w:t>This Circular shall be known as "</w:t>
            </w:r>
            <w:r w:rsidRPr="007F5922">
              <w:rPr>
                <w:rFonts w:ascii="Arial" w:hAnsi="Arial" w:cs="Arial"/>
                <w:b/>
                <w:i/>
                <w:sz w:val="24"/>
                <w:szCs w:val="24"/>
              </w:rPr>
              <w:t>Prescribing the Guidelines for the Opt-in Mechanism Under the Green Energy Auction Program in the Philippines</w:t>
            </w:r>
            <w:r w:rsidRPr="007F5922">
              <w:rPr>
                <w:rFonts w:ascii="Arial" w:hAnsi="Arial" w:cs="Arial"/>
                <w:sz w:val="24"/>
                <w:szCs w:val="24"/>
              </w:rPr>
              <w:t>” or the “</w:t>
            </w:r>
            <w:r w:rsidRPr="007F5922">
              <w:rPr>
                <w:rFonts w:ascii="Arial" w:hAnsi="Arial" w:cs="Arial"/>
                <w:b/>
                <w:i/>
                <w:sz w:val="24"/>
                <w:szCs w:val="24"/>
              </w:rPr>
              <w:t>Opt-in Mechanism Under GEAP</w:t>
            </w:r>
            <w:r w:rsidRPr="007F5922">
              <w:rPr>
                <w:rFonts w:ascii="Arial" w:hAnsi="Arial" w:cs="Arial"/>
                <w:sz w:val="24"/>
                <w:szCs w:val="24"/>
              </w:rPr>
              <w:t>.”</w:t>
            </w:r>
          </w:p>
          <w:p w14:paraId="234F288E" w14:textId="08133DB5" w:rsidR="00C97D84" w:rsidRPr="007F5922" w:rsidRDefault="00C97D84" w:rsidP="005F45B3">
            <w:pPr>
              <w:ind w:left="720"/>
              <w:jc w:val="both"/>
              <w:rPr>
                <w:rFonts w:ascii="Arial" w:hAnsi="Arial" w:cs="Arial"/>
              </w:rPr>
            </w:pPr>
          </w:p>
        </w:tc>
        <w:tc>
          <w:tcPr>
            <w:tcW w:w="5144" w:type="dxa"/>
          </w:tcPr>
          <w:p w14:paraId="034C4F01" w14:textId="77777777" w:rsidR="00C97D84" w:rsidRPr="007F5922" w:rsidRDefault="00C97D84" w:rsidP="002F6EA0">
            <w:pPr>
              <w:jc w:val="center"/>
              <w:rPr>
                <w:rFonts w:ascii="Arial" w:hAnsi="Arial" w:cs="Arial"/>
              </w:rPr>
            </w:pPr>
          </w:p>
        </w:tc>
        <w:tc>
          <w:tcPr>
            <w:tcW w:w="4977" w:type="dxa"/>
          </w:tcPr>
          <w:p w14:paraId="65DC9AA3" w14:textId="77777777" w:rsidR="00C97D84" w:rsidRPr="007F5922" w:rsidRDefault="00C97D84" w:rsidP="002F6EA0">
            <w:pPr>
              <w:jc w:val="center"/>
              <w:rPr>
                <w:rFonts w:ascii="Arial" w:hAnsi="Arial" w:cs="Arial"/>
              </w:rPr>
            </w:pPr>
          </w:p>
        </w:tc>
      </w:tr>
      <w:tr w:rsidR="00C97D84" w:rsidRPr="007F5922" w14:paraId="500C0EC9" w14:textId="41C4CBDD" w:rsidTr="00A55B9B">
        <w:trPr>
          <w:trHeight w:val="597"/>
        </w:trPr>
        <w:tc>
          <w:tcPr>
            <w:tcW w:w="4542" w:type="dxa"/>
            <w:vAlign w:val="center"/>
          </w:tcPr>
          <w:p w14:paraId="31315178" w14:textId="77777777" w:rsidR="007F5922" w:rsidRPr="007F5922" w:rsidRDefault="007F5922" w:rsidP="007F5922">
            <w:pPr>
              <w:ind w:right="39"/>
              <w:contextualSpacing/>
              <w:jc w:val="both"/>
              <w:rPr>
                <w:rFonts w:ascii="Arial" w:hAnsi="Arial" w:cs="Arial"/>
                <w:sz w:val="24"/>
                <w:szCs w:val="24"/>
              </w:rPr>
            </w:pPr>
            <w:r w:rsidRPr="007F5922">
              <w:rPr>
                <w:rFonts w:ascii="Arial" w:hAnsi="Arial" w:cs="Arial"/>
                <w:b/>
                <w:sz w:val="24"/>
                <w:szCs w:val="24"/>
              </w:rPr>
              <w:t>Section 2.</w:t>
            </w:r>
            <w:r w:rsidRPr="007F5922">
              <w:rPr>
                <w:rFonts w:ascii="Arial" w:hAnsi="Arial" w:cs="Arial"/>
                <w:b/>
                <w:sz w:val="24"/>
                <w:szCs w:val="24"/>
              </w:rPr>
              <w:tab/>
              <w:t xml:space="preserve">Purposes and Objectives. </w:t>
            </w:r>
            <w:r w:rsidRPr="007F5922">
              <w:rPr>
                <w:rFonts w:ascii="Arial" w:hAnsi="Arial" w:cs="Arial"/>
                <w:sz w:val="24"/>
                <w:szCs w:val="24"/>
              </w:rPr>
              <w:t>This Opt-in Mechanism Under GEAP is hereby promulgated to:</w:t>
            </w:r>
          </w:p>
          <w:p w14:paraId="4C0F3BEA" w14:textId="77777777" w:rsidR="007F5922" w:rsidRPr="007F5922" w:rsidRDefault="007F5922" w:rsidP="007F5922">
            <w:pPr>
              <w:tabs>
                <w:tab w:val="left" w:pos="1530"/>
              </w:tabs>
              <w:ind w:left="1530" w:right="39" w:hanging="1530"/>
              <w:contextualSpacing/>
              <w:jc w:val="both"/>
              <w:rPr>
                <w:rFonts w:ascii="Arial" w:hAnsi="Arial" w:cs="Arial"/>
                <w:sz w:val="24"/>
                <w:szCs w:val="24"/>
              </w:rPr>
            </w:pPr>
            <w:r w:rsidRPr="007F5922">
              <w:rPr>
                <w:rFonts w:ascii="Arial" w:hAnsi="Arial" w:cs="Arial"/>
                <w:sz w:val="24"/>
                <w:szCs w:val="24"/>
              </w:rPr>
              <w:tab/>
            </w:r>
            <w:r w:rsidRPr="007F5922">
              <w:rPr>
                <w:rFonts w:ascii="Arial" w:hAnsi="Arial" w:cs="Arial"/>
                <w:sz w:val="24"/>
                <w:szCs w:val="24"/>
              </w:rPr>
              <w:tab/>
            </w:r>
          </w:p>
          <w:p w14:paraId="7F7A593E" w14:textId="77777777" w:rsidR="007F5922" w:rsidRPr="007F5922" w:rsidRDefault="007F5922">
            <w:pPr>
              <w:pStyle w:val="ListParagraph"/>
              <w:numPr>
                <w:ilvl w:val="0"/>
                <w:numId w:val="1"/>
              </w:numPr>
              <w:ind w:left="567" w:hanging="567"/>
              <w:jc w:val="both"/>
              <w:rPr>
                <w:rFonts w:ascii="Arial" w:hAnsi="Arial" w:cs="Arial"/>
                <w:bCs/>
                <w:color w:val="000000"/>
                <w:sz w:val="24"/>
                <w:szCs w:val="24"/>
              </w:rPr>
            </w:pPr>
            <w:r w:rsidRPr="007F5922">
              <w:rPr>
                <w:rFonts w:ascii="Arial" w:hAnsi="Arial" w:cs="Arial"/>
                <w:bCs/>
                <w:sz w:val="24"/>
                <w:szCs w:val="24"/>
              </w:rPr>
              <w:t xml:space="preserve">Decrease </w:t>
            </w:r>
            <w:r w:rsidRPr="007F5922">
              <w:rPr>
                <w:rFonts w:ascii="Arial" w:hAnsi="Arial" w:cs="Arial"/>
                <w:bCs/>
                <w:color w:val="000000"/>
                <w:sz w:val="24"/>
                <w:szCs w:val="24"/>
              </w:rPr>
              <w:t xml:space="preserve">the applicable FIT-All rate charged to </w:t>
            </w:r>
            <w:proofErr w:type="gramStart"/>
            <w:r w:rsidRPr="007F5922">
              <w:rPr>
                <w:rFonts w:ascii="Arial" w:hAnsi="Arial" w:cs="Arial"/>
                <w:bCs/>
                <w:color w:val="000000"/>
                <w:sz w:val="24"/>
                <w:szCs w:val="24"/>
              </w:rPr>
              <w:t>end-users;</w:t>
            </w:r>
            <w:proofErr w:type="gramEnd"/>
          </w:p>
          <w:p w14:paraId="13BEAC8B" w14:textId="77777777" w:rsidR="007F5922" w:rsidRPr="007F5922" w:rsidRDefault="007F5922">
            <w:pPr>
              <w:pStyle w:val="ListParagraph"/>
              <w:numPr>
                <w:ilvl w:val="0"/>
                <w:numId w:val="1"/>
              </w:numPr>
              <w:ind w:left="567" w:hanging="567"/>
              <w:jc w:val="both"/>
              <w:rPr>
                <w:rFonts w:ascii="Arial" w:hAnsi="Arial" w:cs="Arial"/>
                <w:sz w:val="24"/>
                <w:szCs w:val="24"/>
              </w:rPr>
            </w:pPr>
            <w:r w:rsidRPr="007F5922">
              <w:rPr>
                <w:rFonts w:ascii="Arial" w:hAnsi="Arial" w:cs="Arial"/>
                <w:sz w:val="24"/>
                <w:szCs w:val="24"/>
              </w:rPr>
              <w:t>Meet any RPS Mandated Participant supply and RPS requirements through the Opt-In Mechanism at the RPS Mandated Participant's option; and</w:t>
            </w:r>
          </w:p>
          <w:p w14:paraId="14EDFE48" w14:textId="77777777" w:rsidR="007F5922" w:rsidRPr="007F5922" w:rsidRDefault="007F5922">
            <w:pPr>
              <w:pStyle w:val="ListParagraph"/>
              <w:numPr>
                <w:ilvl w:val="0"/>
                <w:numId w:val="1"/>
              </w:numPr>
              <w:ind w:left="567" w:hanging="567"/>
              <w:jc w:val="both"/>
              <w:rPr>
                <w:rFonts w:ascii="Arial" w:hAnsi="Arial" w:cs="Arial"/>
                <w:sz w:val="24"/>
                <w:szCs w:val="24"/>
              </w:rPr>
            </w:pPr>
            <w:r w:rsidRPr="007F5922">
              <w:rPr>
                <w:rFonts w:ascii="Arial" w:hAnsi="Arial" w:cs="Arial"/>
                <w:sz w:val="24"/>
                <w:szCs w:val="24"/>
              </w:rPr>
              <w:t>Comply and provide further guidelines in the implementation of Department Circular No. DC2021-11-0036 or the GEAP Guidelines.</w:t>
            </w:r>
          </w:p>
          <w:p w14:paraId="69A46093" w14:textId="052D7D78" w:rsidR="00C97D84" w:rsidRPr="007F5922" w:rsidRDefault="00C97D84" w:rsidP="006818EF">
            <w:pPr>
              <w:pStyle w:val="Body"/>
              <w:tabs>
                <w:tab w:val="left" w:pos="284"/>
                <w:tab w:val="left" w:pos="567"/>
                <w:tab w:val="left" w:pos="851"/>
                <w:tab w:val="left" w:pos="1134"/>
              </w:tabs>
              <w:jc w:val="both"/>
              <w:rPr>
                <w:rFonts w:ascii="Arial" w:hAnsi="Arial" w:cs="Arial"/>
                <w:sz w:val="22"/>
                <w:szCs w:val="22"/>
              </w:rPr>
            </w:pPr>
          </w:p>
        </w:tc>
        <w:tc>
          <w:tcPr>
            <w:tcW w:w="5144" w:type="dxa"/>
          </w:tcPr>
          <w:p w14:paraId="156147CC" w14:textId="77777777" w:rsidR="00C97D84" w:rsidRPr="007F5922" w:rsidRDefault="00C97D84" w:rsidP="002F6EA0">
            <w:pPr>
              <w:jc w:val="center"/>
              <w:rPr>
                <w:rFonts w:ascii="Arial" w:hAnsi="Arial" w:cs="Arial"/>
              </w:rPr>
            </w:pPr>
          </w:p>
        </w:tc>
        <w:tc>
          <w:tcPr>
            <w:tcW w:w="4977" w:type="dxa"/>
          </w:tcPr>
          <w:p w14:paraId="35CDC4E9" w14:textId="77777777" w:rsidR="00C97D84" w:rsidRPr="007F5922" w:rsidRDefault="00C97D84" w:rsidP="002F6EA0">
            <w:pPr>
              <w:jc w:val="center"/>
              <w:rPr>
                <w:rFonts w:ascii="Arial" w:hAnsi="Arial" w:cs="Arial"/>
              </w:rPr>
            </w:pPr>
          </w:p>
        </w:tc>
      </w:tr>
      <w:tr w:rsidR="00C97D84" w:rsidRPr="007F5922" w14:paraId="55599C02" w14:textId="687C7488" w:rsidTr="006818EF">
        <w:trPr>
          <w:trHeight w:val="1430"/>
        </w:trPr>
        <w:tc>
          <w:tcPr>
            <w:tcW w:w="4542" w:type="dxa"/>
            <w:vAlign w:val="center"/>
          </w:tcPr>
          <w:p w14:paraId="7E9BE0C4" w14:textId="77777777" w:rsidR="007F5922" w:rsidRPr="007F5922" w:rsidRDefault="007F5922" w:rsidP="007F5922">
            <w:pPr>
              <w:contextualSpacing/>
              <w:jc w:val="both"/>
              <w:rPr>
                <w:rFonts w:ascii="Arial" w:hAnsi="Arial" w:cs="Arial"/>
                <w:sz w:val="24"/>
                <w:szCs w:val="24"/>
              </w:rPr>
            </w:pPr>
            <w:commentRangeStart w:id="0"/>
            <w:r w:rsidRPr="007F5922">
              <w:rPr>
                <w:rFonts w:ascii="Arial" w:hAnsi="Arial" w:cs="Arial"/>
                <w:b/>
                <w:sz w:val="24"/>
                <w:szCs w:val="24"/>
              </w:rPr>
              <w:t>Section 3. Scope</w:t>
            </w:r>
            <w:commentRangeEnd w:id="0"/>
            <w:r w:rsidRPr="007F5922">
              <w:rPr>
                <w:rStyle w:val="CommentReference"/>
              </w:rPr>
              <w:commentReference w:id="0"/>
            </w:r>
            <w:r w:rsidRPr="007F5922">
              <w:rPr>
                <w:rFonts w:ascii="Arial" w:hAnsi="Arial" w:cs="Arial"/>
                <w:b/>
                <w:sz w:val="24"/>
                <w:szCs w:val="24"/>
              </w:rPr>
              <w:t xml:space="preserve">. </w:t>
            </w:r>
            <w:r w:rsidRPr="007F5922">
              <w:rPr>
                <w:rFonts w:ascii="Arial" w:hAnsi="Arial" w:cs="Arial"/>
                <w:sz w:val="24"/>
                <w:szCs w:val="24"/>
              </w:rPr>
              <w:t>This Circular shall apply to the following:</w:t>
            </w:r>
          </w:p>
          <w:p w14:paraId="3D0AB8AA" w14:textId="77777777" w:rsidR="007F5922" w:rsidRPr="007F5922" w:rsidRDefault="007F5922" w:rsidP="007F5922">
            <w:pPr>
              <w:contextualSpacing/>
              <w:jc w:val="both"/>
              <w:rPr>
                <w:rFonts w:ascii="Arial" w:hAnsi="Arial" w:cs="Arial"/>
                <w:b/>
                <w:sz w:val="24"/>
                <w:szCs w:val="24"/>
              </w:rPr>
            </w:pPr>
          </w:p>
          <w:p w14:paraId="5F5B162A" w14:textId="77777777" w:rsidR="007F5922" w:rsidRPr="007F5922" w:rsidRDefault="007F5922">
            <w:pPr>
              <w:pStyle w:val="ListParagraph"/>
              <w:numPr>
                <w:ilvl w:val="0"/>
                <w:numId w:val="2"/>
              </w:numPr>
              <w:ind w:left="567" w:hanging="567"/>
              <w:jc w:val="both"/>
              <w:rPr>
                <w:rFonts w:ascii="Arial" w:hAnsi="Arial" w:cs="Arial"/>
                <w:sz w:val="24"/>
                <w:szCs w:val="24"/>
              </w:rPr>
            </w:pPr>
            <w:r w:rsidRPr="007F5922">
              <w:rPr>
                <w:rFonts w:ascii="Arial" w:hAnsi="Arial" w:cs="Arial"/>
                <w:sz w:val="24"/>
                <w:szCs w:val="24"/>
              </w:rPr>
              <w:t>Energy Regulatory Commission (ERC</w:t>
            </w:r>
            <w:proofErr w:type="gramStart"/>
            <w:r w:rsidRPr="007F5922">
              <w:rPr>
                <w:rFonts w:ascii="Arial" w:hAnsi="Arial" w:cs="Arial"/>
                <w:sz w:val="24"/>
                <w:szCs w:val="24"/>
              </w:rPr>
              <w:t>);</w:t>
            </w:r>
            <w:proofErr w:type="gramEnd"/>
          </w:p>
          <w:p w14:paraId="446E433E" w14:textId="77777777" w:rsidR="007F5922" w:rsidRPr="007F5922" w:rsidRDefault="007F5922" w:rsidP="007F5922">
            <w:pPr>
              <w:jc w:val="both"/>
              <w:rPr>
                <w:rFonts w:ascii="Arial" w:hAnsi="Arial" w:cs="Arial"/>
                <w:sz w:val="24"/>
                <w:szCs w:val="24"/>
              </w:rPr>
            </w:pPr>
          </w:p>
          <w:p w14:paraId="55167046" w14:textId="77777777" w:rsidR="007F5922" w:rsidRPr="007F5922" w:rsidRDefault="007F5922">
            <w:pPr>
              <w:pStyle w:val="ListParagraph"/>
              <w:numPr>
                <w:ilvl w:val="0"/>
                <w:numId w:val="2"/>
              </w:numPr>
              <w:ind w:left="567" w:hanging="567"/>
              <w:jc w:val="both"/>
              <w:rPr>
                <w:rFonts w:ascii="Arial" w:hAnsi="Arial" w:cs="Arial"/>
                <w:sz w:val="24"/>
                <w:szCs w:val="24"/>
              </w:rPr>
            </w:pPr>
            <w:r w:rsidRPr="007F5922">
              <w:rPr>
                <w:rFonts w:ascii="Arial" w:hAnsi="Arial" w:cs="Arial"/>
                <w:sz w:val="24"/>
                <w:szCs w:val="24"/>
              </w:rPr>
              <w:t xml:space="preserve">RPS Mandated Participants, </w:t>
            </w:r>
            <w:r w:rsidRPr="007F5922">
              <w:rPr>
                <w:rFonts w:ascii="Arial" w:hAnsi="Arial" w:cs="Arial"/>
                <w:bCs/>
                <w:sz w:val="24"/>
                <w:szCs w:val="24"/>
              </w:rPr>
              <w:t xml:space="preserve">as defined under Section 4.8 of the GEAP </w:t>
            </w:r>
            <w:proofErr w:type="gramStart"/>
            <w:r w:rsidRPr="007F5922">
              <w:rPr>
                <w:rFonts w:ascii="Arial" w:hAnsi="Arial" w:cs="Arial"/>
                <w:bCs/>
                <w:sz w:val="24"/>
                <w:szCs w:val="24"/>
              </w:rPr>
              <w:t>Guidelines;</w:t>
            </w:r>
            <w:proofErr w:type="gramEnd"/>
          </w:p>
          <w:p w14:paraId="58DE0399" w14:textId="77777777" w:rsidR="007F5922" w:rsidRPr="007F5922" w:rsidRDefault="007F5922" w:rsidP="007F5922">
            <w:pPr>
              <w:ind w:left="567" w:hanging="567"/>
              <w:contextualSpacing/>
              <w:jc w:val="both"/>
              <w:rPr>
                <w:rFonts w:ascii="Arial" w:hAnsi="Arial" w:cs="Arial"/>
                <w:sz w:val="24"/>
                <w:szCs w:val="24"/>
              </w:rPr>
            </w:pPr>
          </w:p>
          <w:p w14:paraId="583CDA13" w14:textId="77777777" w:rsidR="007F5922" w:rsidRPr="007F5922" w:rsidRDefault="007F5922">
            <w:pPr>
              <w:pStyle w:val="ListParagraph"/>
              <w:numPr>
                <w:ilvl w:val="0"/>
                <w:numId w:val="2"/>
              </w:numPr>
              <w:ind w:left="567" w:hanging="567"/>
              <w:jc w:val="both"/>
              <w:rPr>
                <w:rFonts w:ascii="Arial" w:hAnsi="Arial" w:cs="Arial"/>
                <w:sz w:val="24"/>
                <w:szCs w:val="24"/>
              </w:rPr>
            </w:pPr>
            <w:r w:rsidRPr="007F5922">
              <w:rPr>
                <w:rFonts w:ascii="Arial" w:hAnsi="Arial" w:cs="Arial"/>
                <w:sz w:val="24"/>
                <w:szCs w:val="24"/>
              </w:rPr>
              <w:t xml:space="preserve">Winning Bidders, as defined under Section 4.9 of </w:t>
            </w:r>
            <w:r w:rsidRPr="007F5922">
              <w:rPr>
                <w:rFonts w:ascii="Arial" w:hAnsi="Arial" w:cs="Arial"/>
                <w:bCs/>
                <w:sz w:val="24"/>
                <w:szCs w:val="24"/>
              </w:rPr>
              <w:t xml:space="preserve">the GEAP </w:t>
            </w:r>
            <w:proofErr w:type="gramStart"/>
            <w:r w:rsidRPr="007F5922">
              <w:rPr>
                <w:rFonts w:ascii="Arial" w:hAnsi="Arial" w:cs="Arial"/>
                <w:bCs/>
                <w:sz w:val="24"/>
                <w:szCs w:val="24"/>
              </w:rPr>
              <w:t>Guidelines;</w:t>
            </w:r>
            <w:proofErr w:type="gramEnd"/>
          </w:p>
          <w:p w14:paraId="3186EE69" w14:textId="77777777" w:rsidR="007F5922" w:rsidRPr="007F5922" w:rsidRDefault="007F5922" w:rsidP="007F5922">
            <w:pPr>
              <w:ind w:left="567" w:hanging="567"/>
              <w:contextualSpacing/>
              <w:jc w:val="both"/>
              <w:rPr>
                <w:rFonts w:ascii="Arial" w:hAnsi="Arial" w:cs="Arial"/>
                <w:sz w:val="24"/>
                <w:szCs w:val="24"/>
              </w:rPr>
            </w:pPr>
          </w:p>
          <w:p w14:paraId="2074EE04" w14:textId="77777777" w:rsidR="007F5922" w:rsidRPr="007F5922" w:rsidRDefault="007F5922">
            <w:pPr>
              <w:pStyle w:val="ListParagraph"/>
              <w:numPr>
                <w:ilvl w:val="0"/>
                <w:numId w:val="2"/>
              </w:numPr>
              <w:ind w:left="567" w:hanging="567"/>
              <w:jc w:val="both"/>
              <w:rPr>
                <w:rFonts w:ascii="Arial" w:hAnsi="Arial" w:cs="Arial"/>
                <w:sz w:val="24"/>
                <w:szCs w:val="24"/>
              </w:rPr>
            </w:pPr>
            <w:r w:rsidRPr="007F5922">
              <w:rPr>
                <w:rFonts w:ascii="Arial" w:hAnsi="Arial" w:cs="Arial"/>
                <w:sz w:val="24"/>
                <w:szCs w:val="24"/>
              </w:rPr>
              <w:t>National Transmission Corporation (</w:t>
            </w:r>
            <w:proofErr w:type="spellStart"/>
            <w:r w:rsidRPr="007F5922">
              <w:rPr>
                <w:rFonts w:ascii="Arial" w:hAnsi="Arial" w:cs="Arial"/>
                <w:sz w:val="24"/>
                <w:szCs w:val="24"/>
              </w:rPr>
              <w:t>TransCo</w:t>
            </w:r>
            <w:proofErr w:type="spellEnd"/>
            <w:r w:rsidRPr="007F5922">
              <w:rPr>
                <w:rFonts w:ascii="Arial" w:hAnsi="Arial" w:cs="Arial"/>
                <w:sz w:val="24"/>
                <w:szCs w:val="24"/>
              </w:rPr>
              <w:t>); and</w:t>
            </w:r>
          </w:p>
          <w:p w14:paraId="40DBC7F3" w14:textId="77777777" w:rsidR="007F5922" w:rsidRPr="007F5922" w:rsidRDefault="007F5922" w:rsidP="007F5922">
            <w:pPr>
              <w:ind w:left="567" w:hanging="567"/>
              <w:contextualSpacing/>
              <w:jc w:val="both"/>
              <w:rPr>
                <w:rFonts w:ascii="Arial" w:hAnsi="Arial" w:cs="Arial"/>
                <w:sz w:val="24"/>
                <w:szCs w:val="24"/>
              </w:rPr>
            </w:pPr>
          </w:p>
          <w:p w14:paraId="4A928D78" w14:textId="77777777" w:rsidR="007F5922" w:rsidRPr="007F5922" w:rsidRDefault="007F5922">
            <w:pPr>
              <w:pStyle w:val="ListParagraph"/>
              <w:numPr>
                <w:ilvl w:val="0"/>
                <w:numId w:val="2"/>
              </w:numPr>
              <w:ind w:left="567" w:right="39" w:hanging="567"/>
              <w:jc w:val="both"/>
              <w:rPr>
                <w:rFonts w:ascii="Arial" w:hAnsi="Arial" w:cs="Arial"/>
                <w:sz w:val="24"/>
                <w:szCs w:val="24"/>
              </w:rPr>
            </w:pPr>
            <w:r w:rsidRPr="007F5922">
              <w:rPr>
                <w:rFonts w:ascii="Arial" w:hAnsi="Arial" w:cs="Arial"/>
                <w:sz w:val="24"/>
                <w:szCs w:val="24"/>
              </w:rPr>
              <w:t xml:space="preserve">Market Operator, as defined under Section 4.8 of </w:t>
            </w:r>
            <w:r w:rsidRPr="007F5922">
              <w:rPr>
                <w:rFonts w:ascii="Arial" w:hAnsi="Arial" w:cs="Arial"/>
                <w:bCs/>
                <w:sz w:val="24"/>
                <w:szCs w:val="24"/>
              </w:rPr>
              <w:t xml:space="preserve">the GEAP </w:t>
            </w:r>
            <w:proofErr w:type="gramStart"/>
            <w:r w:rsidRPr="007F5922">
              <w:rPr>
                <w:rFonts w:ascii="Arial" w:hAnsi="Arial" w:cs="Arial"/>
                <w:bCs/>
                <w:sz w:val="24"/>
                <w:szCs w:val="24"/>
              </w:rPr>
              <w:t>Guidelines;</w:t>
            </w:r>
            <w:proofErr w:type="gramEnd"/>
          </w:p>
          <w:p w14:paraId="0EDC6346" w14:textId="6D8B7473" w:rsidR="00C97D84" w:rsidRPr="007F5922" w:rsidRDefault="00C97D84" w:rsidP="0074037E">
            <w:pPr>
              <w:ind w:left="720"/>
              <w:jc w:val="both"/>
              <w:rPr>
                <w:rFonts w:ascii="Arial" w:hAnsi="Arial" w:cs="Arial"/>
              </w:rPr>
            </w:pPr>
          </w:p>
        </w:tc>
        <w:tc>
          <w:tcPr>
            <w:tcW w:w="5144" w:type="dxa"/>
          </w:tcPr>
          <w:p w14:paraId="2388E22D" w14:textId="77777777" w:rsidR="00C97D84" w:rsidRPr="007F5922" w:rsidRDefault="00C97D84" w:rsidP="002F6EA0">
            <w:pPr>
              <w:jc w:val="center"/>
              <w:rPr>
                <w:rFonts w:ascii="Arial" w:hAnsi="Arial" w:cs="Arial"/>
              </w:rPr>
            </w:pPr>
          </w:p>
        </w:tc>
        <w:tc>
          <w:tcPr>
            <w:tcW w:w="4977" w:type="dxa"/>
          </w:tcPr>
          <w:p w14:paraId="098F7BB9" w14:textId="77777777" w:rsidR="00C97D84" w:rsidRPr="007F5922" w:rsidRDefault="00C97D84" w:rsidP="002F6EA0">
            <w:pPr>
              <w:jc w:val="center"/>
              <w:rPr>
                <w:rFonts w:ascii="Arial" w:hAnsi="Arial" w:cs="Arial"/>
              </w:rPr>
            </w:pPr>
          </w:p>
        </w:tc>
      </w:tr>
      <w:tr w:rsidR="00C97D84" w:rsidRPr="007F5922" w14:paraId="56A3CF22" w14:textId="62975CE1" w:rsidTr="006818EF">
        <w:trPr>
          <w:trHeight w:val="1160"/>
        </w:trPr>
        <w:tc>
          <w:tcPr>
            <w:tcW w:w="4542" w:type="dxa"/>
            <w:vAlign w:val="center"/>
          </w:tcPr>
          <w:p w14:paraId="041818D4" w14:textId="77777777" w:rsidR="007F5922" w:rsidRPr="007F5922" w:rsidRDefault="007F5922" w:rsidP="007F5922">
            <w:pPr>
              <w:contextualSpacing/>
              <w:jc w:val="both"/>
              <w:rPr>
                <w:rFonts w:ascii="Arial" w:hAnsi="Arial" w:cs="Arial"/>
                <w:sz w:val="24"/>
                <w:szCs w:val="24"/>
              </w:rPr>
            </w:pPr>
            <w:r w:rsidRPr="007F5922">
              <w:rPr>
                <w:rFonts w:ascii="Arial" w:hAnsi="Arial" w:cs="Arial"/>
                <w:b/>
                <w:sz w:val="24"/>
                <w:szCs w:val="24"/>
              </w:rPr>
              <w:t xml:space="preserve">Section 4.  Definition of Terms.  </w:t>
            </w:r>
            <w:r w:rsidRPr="007F5922">
              <w:rPr>
                <w:rFonts w:ascii="Arial" w:hAnsi="Arial" w:cs="Arial"/>
                <w:sz w:val="24"/>
                <w:szCs w:val="24"/>
              </w:rPr>
              <w:t>This Circular hereby adopts, by reference, the terms as defined in the EPIRA, RE Act, and their respective implementing rules and regulations, RPS On-Grid Rules, the Omnibus RE Guidelines, the WESM Rules, FIT Rules, and Green Energy Auction Program insofar as the said terms are consistent herewith, as well as the relevant DOE Department Circulars.</w:t>
            </w:r>
          </w:p>
          <w:p w14:paraId="2B7D275A" w14:textId="77777777" w:rsidR="007F5922" w:rsidRPr="007F5922" w:rsidRDefault="007F5922" w:rsidP="007F5922">
            <w:pPr>
              <w:contextualSpacing/>
              <w:jc w:val="both"/>
              <w:rPr>
                <w:rFonts w:ascii="Arial" w:hAnsi="Arial" w:cs="Arial"/>
                <w:sz w:val="24"/>
                <w:szCs w:val="24"/>
              </w:rPr>
            </w:pPr>
          </w:p>
          <w:p w14:paraId="7B5B7338" w14:textId="77777777" w:rsidR="007F5922" w:rsidRPr="007F5922" w:rsidRDefault="007F5922" w:rsidP="007F5922">
            <w:pPr>
              <w:contextualSpacing/>
              <w:jc w:val="both"/>
              <w:rPr>
                <w:rFonts w:ascii="Arial" w:hAnsi="Arial" w:cs="Arial"/>
                <w:sz w:val="24"/>
                <w:szCs w:val="24"/>
              </w:rPr>
            </w:pPr>
            <w:r w:rsidRPr="007F5922">
              <w:rPr>
                <w:rFonts w:ascii="Arial" w:hAnsi="Arial" w:cs="Arial"/>
                <w:sz w:val="24"/>
                <w:szCs w:val="24"/>
              </w:rPr>
              <w:t>Furthermore, the terms, as used in this Circular, shall be defined as follows:</w:t>
            </w:r>
          </w:p>
          <w:p w14:paraId="7E602F24" w14:textId="77777777" w:rsidR="007F5922" w:rsidRPr="007F5922" w:rsidRDefault="007F5922" w:rsidP="007F5922">
            <w:pPr>
              <w:ind w:left="270"/>
              <w:contextualSpacing/>
              <w:jc w:val="both"/>
              <w:rPr>
                <w:rFonts w:ascii="Arial" w:hAnsi="Arial" w:cs="Arial"/>
                <w:b/>
                <w:sz w:val="24"/>
                <w:szCs w:val="24"/>
              </w:rPr>
            </w:pPr>
          </w:p>
          <w:p w14:paraId="4AFD6566" w14:textId="77777777" w:rsidR="007F5922" w:rsidRPr="007F5922" w:rsidRDefault="007F5922">
            <w:pPr>
              <w:pStyle w:val="ListParagraph"/>
              <w:numPr>
                <w:ilvl w:val="0"/>
                <w:numId w:val="3"/>
              </w:numPr>
              <w:ind w:left="567" w:hanging="567"/>
              <w:jc w:val="both"/>
              <w:rPr>
                <w:rFonts w:ascii="Arial" w:hAnsi="Arial" w:cs="Arial"/>
                <w:sz w:val="24"/>
                <w:szCs w:val="24"/>
              </w:rPr>
            </w:pPr>
            <w:r w:rsidRPr="007F5922">
              <w:rPr>
                <w:rFonts w:ascii="Arial" w:hAnsi="Arial" w:cs="Arial"/>
                <w:b/>
                <w:color w:val="000000"/>
                <w:sz w:val="24"/>
                <w:szCs w:val="24"/>
              </w:rPr>
              <w:t>“</w:t>
            </w:r>
            <w:r w:rsidRPr="007F5922">
              <w:rPr>
                <w:rFonts w:ascii="Arial" w:hAnsi="Arial" w:cs="Arial"/>
                <w:b/>
                <w:sz w:val="24"/>
                <w:szCs w:val="24"/>
              </w:rPr>
              <w:t>Opt-In Participation Agreement</w:t>
            </w:r>
            <w:r w:rsidRPr="007F5922">
              <w:rPr>
                <w:rFonts w:ascii="Arial" w:hAnsi="Arial" w:cs="Arial"/>
                <w:b/>
                <w:color w:val="000000"/>
                <w:sz w:val="24"/>
                <w:szCs w:val="24"/>
              </w:rPr>
              <w:t xml:space="preserve">” </w:t>
            </w:r>
            <w:r w:rsidRPr="007F5922">
              <w:rPr>
                <w:rFonts w:ascii="Arial" w:hAnsi="Arial" w:cs="Arial"/>
                <w:color w:val="000000"/>
                <w:sz w:val="24"/>
                <w:szCs w:val="24"/>
              </w:rPr>
              <w:t xml:space="preserve">or </w:t>
            </w:r>
            <w:r w:rsidRPr="007F5922">
              <w:rPr>
                <w:rFonts w:ascii="Arial" w:hAnsi="Arial" w:cs="Arial"/>
                <w:b/>
                <w:color w:val="000000"/>
                <w:sz w:val="24"/>
                <w:szCs w:val="24"/>
              </w:rPr>
              <w:t>“</w:t>
            </w:r>
            <w:r w:rsidRPr="007F5922">
              <w:rPr>
                <w:rFonts w:ascii="Arial" w:hAnsi="Arial" w:cs="Arial"/>
                <w:b/>
                <w:sz w:val="24"/>
                <w:szCs w:val="24"/>
              </w:rPr>
              <w:t>OPA</w:t>
            </w:r>
            <w:r w:rsidRPr="007F5922">
              <w:rPr>
                <w:rFonts w:ascii="Arial" w:hAnsi="Arial" w:cs="Arial"/>
                <w:b/>
                <w:color w:val="000000"/>
                <w:sz w:val="24"/>
                <w:szCs w:val="24"/>
              </w:rPr>
              <w:t xml:space="preserve">” </w:t>
            </w:r>
            <w:r w:rsidRPr="007F5922">
              <w:rPr>
                <w:rFonts w:ascii="Arial" w:hAnsi="Arial" w:cs="Arial"/>
                <w:color w:val="000000"/>
                <w:sz w:val="24"/>
                <w:szCs w:val="24"/>
              </w:rPr>
              <w:t xml:space="preserve">shall be the contract among </w:t>
            </w:r>
            <w:proofErr w:type="spellStart"/>
            <w:r w:rsidRPr="007F5922">
              <w:rPr>
                <w:rFonts w:ascii="Arial" w:hAnsi="Arial" w:cs="Arial"/>
                <w:color w:val="000000"/>
                <w:sz w:val="24"/>
                <w:szCs w:val="24"/>
              </w:rPr>
              <w:t>TransCo</w:t>
            </w:r>
            <w:proofErr w:type="spellEnd"/>
            <w:r w:rsidRPr="007F5922">
              <w:rPr>
                <w:rFonts w:ascii="Arial" w:hAnsi="Arial" w:cs="Arial"/>
                <w:color w:val="000000"/>
                <w:sz w:val="24"/>
                <w:szCs w:val="24"/>
              </w:rPr>
              <w:t>, Market Operator, and the Opt-In Participant as further described in Section 8 of this Circular.</w:t>
            </w:r>
          </w:p>
          <w:p w14:paraId="7627D47D" w14:textId="77777777" w:rsidR="007F5922" w:rsidRPr="007F5922" w:rsidRDefault="007F5922" w:rsidP="007F5922">
            <w:pPr>
              <w:ind w:left="567" w:hanging="567"/>
              <w:contextualSpacing/>
              <w:jc w:val="both"/>
              <w:rPr>
                <w:rFonts w:ascii="Arial" w:hAnsi="Arial" w:cs="Arial"/>
                <w:b/>
                <w:sz w:val="24"/>
                <w:szCs w:val="24"/>
              </w:rPr>
            </w:pPr>
          </w:p>
          <w:p w14:paraId="710FC8D3" w14:textId="77777777" w:rsidR="007F5922" w:rsidRPr="007F5922" w:rsidRDefault="007F5922">
            <w:pPr>
              <w:pStyle w:val="ListParagraph"/>
              <w:numPr>
                <w:ilvl w:val="0"/>
                <w:numId w:val="3"/>
              </w:numPr>
              <w:ind w:left="567" w:hanging="567"/>
              <w:jc w:val="both"/>
              <w:rPr>
                <w:rFonts w:ascii="Arial" w:hAnsi="Arial" w:cs="Arial"/>
                <w:sz w:val="24"/>
                <w:szCs w:val="24"/>
              </w:rPr>
            </w:pPr>
            <w:r w:rsidRPr="007F5922">
              <w:rPr>
                <w:rFonts w:ascii="Arial" w:hAnsi="Arial" w:cs="Arial"/>
                <w:b/>
                <w:sz w:val="24"/>
                <w:szCs w:val="24"/>
              </w:rPr>
              <w:t xml:space="preserve">“Opt-In Mechanism” </w:t>
            </w:r>
            <w:r w:rsidRPr="007F5922">
              <w:rPr>
                <w:rFonts w:ascii="Arial" w:hAnsi="Arial" w:cs="Arial"/>
                <w:sz w:val="24"/>
                <w:szCs w:val="24"/>
              </w:rPr>
              <w:t>refers to the process defined in Section 5 of this Circular.</w:t>
            </w:r>
          </w:p>
          <w:p w14:paraId="05984BF4" w14:textId="77777777" w:rsidR="007F5922" w:rsidRPr="007F5922" w:rsidRDefault="007F5922" w:rsidP="007F5922">
            <w:pPr>
              <w:ind w:left="567" w:hanging="567"/>
              <w:contextualSpacing/>
              <w:jc w:val="both"/>
              <w:rPr>
                <w:rFonts w:ascii="Arial" w:hAnsi="Arial" w:cs="Arial"/>
                <w:b/>
                <w:sz w:val="24"/>
                <w:szCs w:val="24"/>
              </w:rPr>
            </w:pPr>
          </w:p>
          <w:p w14:paraId="3EA68883" w14:textId="77777777" w:rsidR="007F5922" w:rsidRPr="007F5922" w:rsidRDefault="007F5922">
            <w:pPr>
              <w:pStyle w:val="ListParagraph"/>
              <w:numPr>
                <w:ilvl w:val="0"/>
                <w:numId w:val="3"/>
              </w:numPr>
              <w:ind w:left="567" w:hanging="567"/>
              <w:jc w:val="both"/>
              <w:rPr>
                <w:rFonts w:ascii="Arial" w:hAnsi="Arial" w:cs="Arial"/>
                <w:sz w:val="24"/>
                <w:szCs w:val="24"/>
              </w:rPr>
            </w:pPr>
            <w:r w:rsidRPr="007F5922">
              <w:rPr>
                <w:rFonts w:ascii="Arial" w:hAnsi="Arial" w:cs="Arial"/>
                <w:b/>
                <w:sz w:val="24"/>
                <w:szCs w:val="24"/>
              </w:rPr>
              <w:t xml:space="preserve">“Opt-In Capacity” </w:t>
            </w:r>
            <w:r w:rsidRPr="007F5922">
              <w:rPr>
                <w:rFonts w:ascii="Arial" w:hAnsi="Arial" w:cs="Arial"/>
                <w:sz w:val="24"/>
                <w:szCs w:val="24"/>
              </w:rPr>
              <w:t xml:space="preserve">pertains to the capacity contracted by the RPS </w:t>
            </w:r>
            <w:r w:rsidRPr="007F5922">
              <w:rPr>
                <w:rFonts w:ascii="Arial" w:hAnsi="Arial" w:cs="Arial"/>
                <w:sz w:val="24"/>
                <w:szCs w:val="24"/>
              </w:rPr>
              <w:lastRenderedPageBreak/>
              <w:t>Mandated Participant consistent with this Circular.</w:t>
            </w:r>
          </w:p>
          <w:p w14:paraId="15CFDE43" w14:textId="77777777" w:rsidR="007F5922" w:rsidRPr="007F5922" w:rsidRDefault="007F5922" w:rsidP="007F5922">
            <w:pPr>
              <w:ind w:left="567" w:hanging="567"/>
              <w:contextualSpacing/>
              <w:jc w:val="both"/>
              <w:rPr>
                <w:rFonts w:ascii="Arial" w:hAnsi="Arial" w:cs="Arial"/>
                <w:sz w:val="24"/>
                <w:szCs w:val="24"/>
              </w:rPr>
            </w:pPr>
          </w:p>
          <w:p w14:paraId="628E6D8E" w14:textId="77777777" w:rsidR="007F5922" w:rsidRPr="007F5922" w:rsidRDefault="007F5922">
            <w:pPr>
              <w:pStyle w:val="ListParagraph"/>
              <w:numPr>
                <w:ilvl w:val="0"/>
                <w:numId w:val="3"/>
              </w:numPr>
              <w:ind w:left="567" w:right="39" w:hanging="567"/>
              <w:jc w:val="both"/>
              <w:rPr>
                <w:rFonts w:ascii="Arial" w:hAnsi="Arial" w:cs="Arial"/>
                <w:sz w:val="24"/>
                <w:szCs w:val="24"/>
              </w:rPr>
            </w:pPr>
            <w:commentRangeStart w:id="1"/>
            <w:r w:rsidRPr="007F5922">
              <w:rPr>
                <w:rFonts w:ascii="Arial" w:hAnsi="Arial" w:cs="Arial"/>
                <w:b/>
                <w:sz w:val="24"/>
                <w:szCs w:val="24"/>
              </w:rPr>
              <w:t xml:space="preserve">“Opt-in Participants” </w:t>
            </w:r>
            <w:commentRangeEnd w:id="1"/>
            <w:r w:rsidRPr="007F5922">
              <w:rPr>
                <w:rStyle w:val="CommentReference"/>
              </w:rPr>
              <w:commentReference w:id="1"/>
            </w:r>
            <w:r w:rsidRPr="007F5922">
              <w:rPr>
                <w:rFonts w:ascii="Arial" w:hAnsi="Arial" w:cs="Arial"/>
                <w:sz w:val="24"/>
                <w:szCs w:val="24"/>
              </w:rPr>
              <w:t>refer to the RPS Mandated Participants that comply with eligibility requirements under Section 5.1 and exercise Opt-In Mechanism.</w:t>
            </w:r>
          </w:p>
          <w:p w14:paraId="723474EC" w14:textId="155E0ACC" w:rsidR="00C97D84" w:rsidRPr="007F5922" w:rsidRDefault="00C97D84" w:rsidP="00C97D84">
            <w:pPr>
              <w:jc w:val="both"/>
              <w:rPr>
                <w:rFonts w:ascii="Arial" w:eastAsia="Arial" w:hAnsi="Arial" w:cs="Arial"/>
                <w:color w:val="000000" w:themeColor="text1"/>
              </w:rPr>
            </w:pPr>
          </w:p>
        </w:tc>
        <w:tc>
          <w:tcPr>
            <w:tcW w:w="5144" w:type="dxa"/>
          </w:tcPr>
          <w:p w14:paraId="194712AA" w14:textId="77777777" w:rsidR="00C97D84" w:rsidRPr="007F5922" w:rsidRDefault="00C97D84" w:rsidP="002F6EA0">
            <w:pPr>
              <w:jc w:val="center"/>
              <w:rPr>
                <w:rFonts w:ascii="Arial" w:hAnsi="Arial" w:cs="Arial"/>
              </w:rPr>
            </w:pPr>
          </w:p>
        </w:tc>
        <w:tc>
          <w:tcPr>
            <w:tcW w:w="4977" w:type="dxa"/>
          </w:tcPr>
          <w:p w14:paraId="63D31A59" w14:textId="77777777" w:rsidR="00C97D84" w:rsidRPr="007F5922" w:rsidRDefault="00C97D84" w:rsidP="002F6EA0">
            <w:pPr>
              <w:jc w:val="center"/>
              <w:rPr>
                <w:rFonts w:ascii="Arial" w:hAnsi="Arial" w:cs="Arial"/>
              </w:rPr>
            </w:pPr>
          </w:p>
        </w:tc>
      </w:tr>
      <w:tr w:rsidR="00C97D84" w:rsidRPr="007F5922" w14:paraId="4BB206B5" w14:textId="02DC1D5B" w:rsidTr="006818EF">
        <w:trPr>
          <w:trHeight w:val="1151"/>
        </w:trPr>
        <w:tc>
          <w:tcPr>
            <w:tcW w:w="4542" w:type="dxa"/>
          </w:tcPr>
          <w:p w14:paraId="628005ED" w14:textId="77777777" w:rsidR="007F5922" w:rsidRPr="007F5922" w:rsidRDefault="007F5922" w:rsidP="007F5922">
            <w:pPr>
              <w:contextualSpacing/>
              <w:jc w:val="both"/>
              <w:rPr>
                <w:rFonts w:ascii="Arial" w:hAnsi="Arial" w:cs="Arial"/>
                <w:sz w:val="24"/>
                <w:szCs w:val="24"/>
              </w:rPr>
            </w:pPr>
            <w:commentRangeStart w:id="2"/>
            <w:r w:rsidRPr="007F5922">
              <w:rPr>
                <w:rFonts w:ascii="Arial" w:hAnsi="Arial" w:cs="Arial"/>
                <w:b/>
                <w:sz w:val="24"/>
                <w:szCs w:val="24"/>
              </w:rPr>
              <w:t>Section 5. Opt-In Mechanism</w:t>
            </w:r>
            <w:commentRangeEnd w:id="2"/>
            <w:r w:rsidRPr="007F5922">
              <w:rPr>
                <w:rStyle w:val="CommentReference"/>
              </w:rPr>
              <w:commentReference w:id="2"/>
            </w:r>
            <w:r w:rsidRPr="007F5922">
              <w:rPr>
                <w:rFonts w:ascii="Arial" w:hAnsi="Arial" w:cs="Arial"/>
                <w:sz w:val="24"/>
                <w:szCs w:val="24"/>
              </w:rPr>
              <w:t xml:space="preserve">. Consistent with Department Circular No. DC2021-11-0036 or the GEAP Guidelines, any Distribution Utility (DU) shall have the option to procure from the GEAP pool of Winning Bidders under a particular auction round and thereby carve out such DU-procured volumes from the FIT-All compensation.  </w:t>
            </w:r>
          </w:p>
          <w:p w14:paraId="64704FE7" w14:textId="77777777" w:rsidR="007F5922" w:rsidRPr="007F5922" w:rsidRDefault="007F5922" w:rsidP="007F5922">
            <w:pPr>
              <w:contextualSpacing/>
              <w:jc w:val="both"/>
              <w:rPr>
                <w:rFonts w:ascii="Arial" w:hAnsi="Arial" w:cs="Arial"/>
                <w:sz w:val="24"/>
                <w:szCs w:val="24"/>
              </w:rPr>
            </w:pPr>
          </w:p>
          <w:p w14:paraId="43B645F5" w14:textId="77777777" w:rsidR="007F5922" w:rsidRPr="007F5922" w:rsidRDefault="007F5922" w:rsidP="007F5922">
            <w:pPr>
              <w:ind w:right="131"/>
              <w:contextualSpacing/>
              <w:jc w:val="both"/>
              <w:rPr>
                <w:rFonts w:ascii="Arial" w:hAnsi="Arial" w:cs="Arial"/>
                <w:sz w:val="24"/>
                <w:szCs w:val="24"/>
              </w:rPr>
            </w:pPr>
            <w:r w:rsidRPr="007F5922">
              <w:rPr>
                <w:rFonts w:ascii="Arial" w:hAnsi="Arial" w:cs="Arial"/>
                <w:sz w:val="24"/>
                <w:szCs w:val="24"/>
              </w:rPr>
              <w:t xml:space="preserve">Other RPS Mandated Participants, such as the Retail Electricity Suppliers (RES) and </w:t>
            </w:r>
            <w:r w:rsidRPr="007F5922">
              <w:rPr>
                <w:rFonts w:ascii="Arial" w:hAnsi="Arial" w:cs="Arial"/>
                <w:bCs/>
                <w:sz w:val="24"/>
                <w:szCs w:val="24"/>
              </w:rPr>
              <w:t>Generating Companies (</w:t>
            </w:r>
            <w:proofErr w:type="spellStart"/>
            <w:r w:rsidRPr="007F5922">
              <w:rPr>
                <w:rFonts w:ascii="Arial" w:hAnsi="Arial" w:cs="Arial"/>
                <w:bCs/>
                <w:sz w:val="24"/>
                <w:szCs w:val="24"/>
              </w:rPr>
              <w:t>GenCos</w:t>
            </w:r>
            <w:proofErr w:type="spellEnd"/>
            <w:r w:rsidRPr="007F5922">
              <w:rPr>
                <w:rFonts w:ascii="Arial" w:hAnsi="Arial" w:cs="Arial"/>
                <w:bCs/>
                <w:sz w:val="24"/>
                <w:szCs w:val="24"/>
              </w:rPr>
              <w:t>) with Directly Connected Customers</w:t>
            </w:r>
            <w:r w:rsidRPr="007F5922">
              <w:rPr>
                <w:rFonts w:ascii="Arial" w:hAnsi="Arial" w:cs="Arial"/>
                <w:sz w:val="24"/>
                <w:szCs w:val="24"/>
              </w:rPr>
              <w:t xml:space="preserve">, may exercise Opt-In Mechanism as well, subject to the approval of the DOE.  The RPS Mandated Participants who exercise this option are called Opt-In Participants. The capacity attributable to the carve-out volume by Opt-In Participants is called the Opt-In Capacity. </w:t>
            </w:r>
          </w:p>
          <w:p w14:paraId="0628AA1C" w14:textId="19E441BE" w:rsidR="00C97D84" w:rsidRPr="007F5922" w:rsidRDefault="00C97D84" w:rsidP="00CE157A">
            <w:pPr>
              <w:ind w:left="720"/>
              <w:jc w:val="both"/>
              <w:rPr>
                <w:rFonts w:ascii="Arial" w:hAnsi="Arial" w:cs="Arial"/>
              </w:rPr>
            </w:pPr>
          </w:p>
        </w:tc>
        <w:tc>
          <w:tcPr>
            <w:tcW w:w="5144" w:type="dxa"/>
          </w:tcPr>
          <w:p w14:paraId="22A26965" w14:textId="77777777" w:rsidR="00C97D84" w:rsidRPr="007F5922" w:rsidRDefault="00C97D84" w:rsidP="002F6EA0">
            <w:pPr>
              <w:jc w:val="center"/>
              <w:rPr>
                <w:rFonts w:ascii="Arial" w:hAnsi="Arial" w:cs="Arial"/>
              </w:rPr>
            </w:pPr>
          </w:p>
        </w:tc>
        <w:tc>
          <w:tcPr>
            <w:tcW w:w="4977" w:type="dxa"/>
          </w:tcPr>
          <w:p w14:paraId="515EEE38" w14:textId="77777777" w:rsidR="00C97D84" w:rsidRPr="007F5922" w:rsidRDefault="00C97D84" w:rsidP="002F6EA0">
            <w:pPr>
              <w:jc w:val="center"/>
              <w:rPr>
                <w:rFonts w:ascii="Arial" w:hAnsi="Arial" w:cs="Arial"/>
              </w:rPr>
            </w:pPr>
          </w:p>
        </w:tc>
      </w:tr>
      <w:tr w:rsidR="006818EF" w:rsidRPr="007F5922" w14:paraId="2508B879" w14:textId="77777777" w:rsidTr="006818EF">
        <w:trPr>
          <w:trHeight w:val="229"/>
        </w:trPr>
        <w:tc>
          <w:tcPr>
            <w:tcW w:w="4542" w:type="dxa"/>
          </w:tcPr>
          <w:p w14:paraId="7F0C5258" w14:textId="77777777" w:rsidR="007F5922" w:rsidRPr="007F5922" w:rsidRDefault="007F5922" w:rsidP="007F5922">
            <w:pPr>
              <w:contextualSpacing/>
              <w:jc w:val="both"/>
              <w:rPr>
                <w:rFonts w:ascii="Arial" w:hAnsi="Arial" w:cs="Arial"/>
                <w:sz w:val="24"/>
                <w:szCs w:val="24"/>
              </w:rPr>
            </w:pPr>
            <w:r w:rsidRPr="007F5922">
              <w:rPr>
                <w:rFonts w:ascii="Arial" w:hAnsi="Arial" w:cs="Arial"/>
                <w:sz w:val="24"/>
                <w:szCs w:val="24"/>
              </w:rPr>
              <w:t>The RPS Mandated Participants shall have the following Opt-In Mechanism:</w:t>
            </w:r>
          </w:p>
          <w:p w14:paraId="16BFF0E2" w14:textId="77777777" w:rsidR="007F5922" w:rsidRPr="007F5922" w:rsidRDefault="007F5922" w:rsidP="007F5922">
            <w:pPr>
              <w:contextualSpacing/>
              <w:jc w:val="both"/>
              <w:rPr>
                <w:rFonts w:ascii="Arial" w:hAnsi="Arial" w:cs="Arial"/>
                <w:sz w:val="24"/>
                <w:szCs w:val="24"/>
              </w:rPr>
            </w:pPr>
          </w:p>
          <w:p w14:paraId="5C88CBC4" w14:textId="77777777" w:rsidR="007F5922" w:rsidRPr="007F5922" w:rsidRDefault="007F5922" w:rsidP="007F5922">
            <w:pPr>
              <w:ind w:left="1440" w:hanging="540"/>
              <w:contextualSpacing/>
              <w:jc w:val="both"/>
              <w:rPr>
                <w:rFonts w:ascii="Arial" w:hAnsi="Arial" w:cs="Arial"/>
                <w:sz w:val="24"/>
                <w:szCs w:val="24"/>
              </w:rPr>
            </w:pPr>
          </w:p>
          <w:p w14:paraId="06FE0ADA" w14:textId="77777777" w:rsidR="007F5922" w:rsidRPr="007F5922" w:rsidRDefault="007F5922" w:rsidP="007F5922">
            <w:pPr>
              <w:ind w:left="1454" w:hanging="547"/>
              <w:contextualSpacing/>
              <w:jc w:val="both"/>
              <w:rPr>
                <w:rFonts w:ascii="Arial" w:hAnsi="Arial" w:cs="Arial"/>
                <w:sz w:val="24"/>
                <w:szCs w:val="24"/>
              </w:rPr>
            </w:pPr>
          </w:p>
          <w:p w14:paraId="5AF30F35" w14:textId="77777777" w:rsidR="007F5922" w:rsidRPr="007F5922" w:rsidRDefault="007F5922">
            <w:pPr>
              <w:pStyle w:val="ListParagraph"/>
              <w:numPr>
                <w:ilvl w:val="0"/>
                <w:numId w:val="4"/>
              </w:numPr>
              <w:ind w:left="567" w:hanging="578"/>
              <w:jc w:val="both"/>
              <w:rPr>
                <w:rFonts w:ascii="Arial" w:hAnsi="Arial" w:cs="Arial"/>
                <w:sz w:val="24"/>
                <w:szCs w:val="24"/>
              </w:rPr>
            </w:pPr>
            <w:r w:rsidRPr="007F5922">
              <w:rPr>
                <w:rFonts w:ascii="Arial" w:hAnsi="Arial" w:cs="Arial"/>
                <w:b/>
                <w:sz w:val="24"/>
                <w:szCs w:val="24"/>
              </w:rPr>
              <w:t xml:space="preserve">Eligibility Requirements.  </w:t>
            </w:r>
            <w:r w:rsidRPr="007F5922">
              <w:rPr>
                <w:rFonts w:ascii="Arial" w:hAnsi="Arial" w:cs="Arial"/>
                <w:bCs/>
                <w:sz w:val="24"/>
                <w:szCs w:val="24"/>
              </w:rPr>
              <w:t>The DOE through the GEAC shall establish eligibility requirements for the Opt-In Participants in each Auction Round, including parameters such as, but not limited to, NEA credit rating, financial ratio, and form of security deposit. The eligibility requirements shall be clearly defined and posted on the DOE website.</w:t>
            </w:r>
          </w:p>
          <w:p w14:paraId="7016619B" w14:textId="769981DB" w:rsidR="006818EF" w:rsidRPr="007F5922" w:rsidRDefault="006818EF" w:rsidP="006818EF">
            <w:pPr>
              <w:pStyle w:val="Body"/>
              <w:tabs>
                <w:tab w:val="left" w:pos="284"/>
                <w:tab w:val="left" w:pos="567"/>
                <w:tab w:val="left" w:pos="851"/>
                <w:tab w:val="left" w:pos="1134"/>
              </w:tabs>
              <w:jc w:val="both"/>
              <w:rPr>
                <w:rFonts w:ascii="Arial" w:hAnsi="Arial" w:cs="Arial"/>
                <w:b/>
                <w:bCs/>
                <w:sz w:val="22"/>
                <w:szCs w:val="22"/>
              </w:rPr>
            </w:pPr>
          </w:p>
        </w:tc>
        <w:tc>
          <w:tcPr>
            <w:tcW w:w="5144" w:type="dxa"/>
          </w:tcPr>
          <w:p w14:paraId="25AB6D53" w14:textId="77777777" w:rsidR="006818EF" w:rsidRPr="007F5922" w:rsidRDefault="006818EF" w:rsidP="002F6EA0">
            <w:pPr>
              <w:jc w:val="center"/>
              <w:rPr>
                <w:rFonts w:ascii="Arial" w:hAnsi="Arial" w:cs="Arial"/>
              </w:rPr>
            </w:pPr>
          </w:p>
        </w:tc>
        <w:tc>
          <w:tcPr>
            <w:tcW w:w="4977" w:type="dxa"/>
          </w:tcPr>
          <w:p w14:paraId="3C8DBFED" w14:textId="77777777" w:rsidR="006818EF" w:rsidRPr="007F5922" w:rsidRDefault="006818EF" w:rsidP="002F6EA0">
            <w:pPr>
              <w:jc w:val="center"/>
              <w:rPr>
                <w:rFonts w:ascii="Arial" w:hAnsi="Arial" w:cs="Arial"/>
              </w:rPr>
            </w:pPr>
          </w:p>
        </w:tc>
      </w:tr>
      <w:tr w:rsidR="00C97D84" w:rsidRPr="007F5922" w14:paraId="2A057F34" w14:textId="4DD66BD9" w:rsidTr="006818EF">
        <w:trPr>
          <w:trHeight w:val="229"/>
        </w:trPr>
        <w:tc>
          <w:tcPr>
            <w:tcW w:w="4542" w:type="dxa"/>
          </w:tcPr>
          <w:p w14:paraId="645560F6" w14:textId="77777777" w:rsidR="007F5922" w:rsidRPr="007F5922" w:rsidRDefault="007F5922">
            <w:pPr>
              <w:pStyle w:val="ListParagraph"/>
              <w:numPr>
                <w:ilvl w:val="0"/>
                <w:numId w:val="4"/>
              </w:numPr>
              <w:ind w:left="567" w:hanging="578"/>
              <w:jc w:val="both"/>
              <w:rPr>
                <w:rFonts w:ascii="Arial" w:hAnsi="Arial" w:cs="Arial"/>
                <w:bCs/>
                <w:sz w:val="24"/>
                <w:szCs w:val="24"/>
              </w:rPr>
            </w:pPr>
            <w:commentRangeStart w:id="3"/>
            <w:r w:rsidRPr="007F5922">
              <w:rPr>
                <w:rFonts w:ascii="Arial" w:hAnsi="Arial" w:cs="Arial"/>
                <w:b/>
                <w:sz w:val="24"/>
                <w:szCs w:val="24"/>
              </w:rPr>
              <w:t>Participation in Opt-In</w:t>
            </w:r>
            <w:commentRangeEnd w:id="3"/>
            <w:r w:rsidRPr="007F5922">
              <w:rPr>
                <w:rStyle w:val="CommentReference"/>
              </w:rPr>
              <w:commentReference w:id="3"/>
            </w:r>
            <w:r w:rsidRPr="007F5922">
              <w:rPr>
                <w:rFonts w:ascii="Arial" w:hAnsi="Arial" w:cs="Arial"/>
                <w:b/>
                <w:sz w:val="24"/>
                <w:szCs w:val="24"/>
              </w:rPr>
              <w:t xml:space="preserve"> Mechanism.  </w:t>
            </w:r>
            <w:r w:rsidRPr="007F5922">
              <w:rPr>
                <w:rFonts w:ascii="Arial" w:hAnsi="Arial" w:cs="Arial"/>
                <w:bCs/>
                <w:sz w:val="24"/>
                <w:szCs w:val="24"/>
              </w:rPr>
              <w:t xml:space="preserve">An RPS Mandated Participant that complies with eligibility requirements prescribed pursuant to Section 5(a) of this Circular, may exercise its option to Opt-In within the schedule specified in Section 5(e) of this Circular.  The RPS Mandated Participant shall submit a letter request to the DOE specifying the Opt-In Capacity, with an attached Board Resolution or Secretary’s Certificate showing the authority to Opt-in. Upon evaluation that it complies with eligibility requirements under Section 5(a), the DOE shall endorse the Opt-in Participant to </w:t>
            </w:r>
            <w:proofErr w:type="spellStart"/>
            <w:r w:rsidRPr="007F5922">
              <w:rPr>
                <w:rFonts w:ascii="Arial" w:hAnsi="Arial" w:cs="Arial"/>
                <w:bCs/>
                <w:sz w:val="24"/>
                <w:szCs w:val="24"/>
              </w:rPr>
              <w:t>TransCo</w:t>
            </w:r>
            <w:proofErr w:type="spellEnd"/>
            <w:r w:rsidRPr="007F5922">
              <w:rPr>
                <w:rFonts w:ascii="Arial" w:hAnsi="Arial" w:cs="Arial"/>
                <w:bCs/>
                <w:sz w:val="24"/>
                <w:szCs w:val="24"/>
              </w:rPr>
              <w:t xml:space="preserve"> and Market Operator. The endorsement shall contain the Opt-In Participant's Opt-In capacity which is determined in accordance with Section 5(d).</w:t>
            </w:r>
          </w:p>
          <w:p w14:paraId="1BFA1318" w14:textId="7A24797B" w:rsidR="00C97D84" w:rsidRPr="007F5922" w:rsidRDefault="00C97D84" w:rsidP="0017218C">
            <w:pPr>
              <w:ind w:right="39"/>
              <w:jc w:val="both"/>
              <w:rPr>
                <w:sz w:val="24"/>
                <w:szCs w:val="24"/>
              </w:rPr>
            </w:pPr>
          </w:p>
        </w:tc>
        <w:tc>
          <w:tcPr>
            <w:tcW w:w="5144" w:type="dxa"/>
          </w:tcPr>
          <w:p w14:paraId="217F41A1" w14:textId="77777777" w:rsidR="00C97D84" w:rsidRPr="007F5922" w:rsidRDefault="00C97D84" w:rsidP="002F6EA0">
            <w:pPr>
              <w:jc w:val="center"/>
              <w:rPr>
                <w:rFonts w:ascii="Arial" w:hAnsi="Arial" w:cs="Arial"/>
              </w:rPr>
            </w:pPr>
          </w:p>
        </w:tc>
        <w:tc>
          <w:tcPr>
            <w:tcW w:w="4977" w:type="dxa"/>
          </w:tcPr>
          <w:p w14:paraId="35F45161" w14:textId="77777777" w:rsidR="00C97D84" w:rsidRPr="007F5922" w:rsidRDefault="00C97D84" w:rsidP="002F6EA0">
            <w:pPr>
              <w:jc w:val="center"/>
              <w:rPr>
                <w:rFonts w:ascii="Arial" w:hAnsi="Arial" w:cs="Arial"/>
              </w:rPr>
            </w:pPr>
          </w:p>
        </w:tc>
      </w:tr>
      <w:tr w:rsidR="00C97D84" w:rsidRPr="007F5922" w14:paraId="0C1E5181" w14:textId="7C4B3549" w:rsidTr="006818EF">
        <w:trPr>
          <w:trHeight w:val="1925"/>
        </w:trPr>
        <w:tc>
          <w:tcPr>
            <w:tcW w:w="4542" w:type="dxa"/>
            <w:vAlign w:val="center"/>
          </w:tcPr>
          <w:p w14:paraId="0EB4CEA4" w14:textId="2E59B348" w:rsidR="007F5922" w:rsidRPr="007F5922" w:rsidRDefault="007F5922">
            <w:pPr>
              <w:pStyle w:val="ListParagraph"/>
              <w:numPr>
                <w:ilvl w:val="0"/>
                <w:numId w:val="4"/>
              </w:numPr>
              <w:ind w:left="567" w:hanging="578"/>
              <w:jc w:val="both"/>
              <w:rPr>
                <w:rFonts w:ascii="Arial" w:hAnsi="Arial" w:cs="Arial"/>
                <w:bCs/>
                <w:sz w:val="24"/>
                <w:szCs w:val="24"/>
              </w:rPr>
            </w:pPr>
            <w:commentRangeStart w:id="4"/>
            <w:r w:rsidRPr="007F5922">
              <w:rPr>
                <w:rFonts w:ascii="Arial" w:hAnsi="Arial" w:cs="Arial"/>
                <w:b/>
                <w:sz w:val="24"/>
                <w:szCs w:val="24"/>
              </w:rPr>
              <w:lastRenderedPageBreak/>
              <w:t>Opt-In Participation Agreement</w:t>
            </w:r>
            <w:commentRangeEnd w:id="4"/>
            <w:r w:rsidRPr="007F5922">
              <w:rPr>
                <w:rStyle w:val="CommentReference"/>
              </w:rPr>
              <w:commentReference w:id="4"/>
            </w:r>
            <w:r w:rsidRPr="007F5922">
              <w:rPr>
                <w:rFonts w:ascii="Arial" w:hAnsi="Arial" w:cs="Arial"/>
                <w:bCs/>
                <w:sz w:val="24"/>
                <w:szCs w:val="24"/>
              </w:rPr>
              <w:t xml:space="preserve">. An Opt-In Participant that intends to participate in Opt-In Mechanism shall </w:t>
            </w:r>
            <w:proofErr w:type="gramStart"/>
            <w:r w:rsidRPr="007F5922">
              <w:rPr>
                <w:rFonts w:ascii="Arial" w:hAnsi="Arial" w:cs="Arial"/>
                <w:bCs/>
                <w:sz w:val="24"/>
                <w:szCs w:val="24"/>
              </w:rPr>
              <w:t>enter into</w:t>
            </w:r>
            <w:proofErr w:type="gramEnd"/>
            <w:r w:rsidRPr="007F5922">
              <w:rPr>
                <w:rFonts w:ascii="Arial" w:hAnsi="Arial" w:cs="Arial"/>
                <w:bCs/>
                <w:sz w:val="24"/>
                <w:szCs w:val="24"/>
              </w:rPr>
              <w:t xml:space="preserve"> an OPA with the Transco and Market Operator.  Only an Opt-In Participant that has been endorsed by the DOE shall be allowed to </w:t>
            </w:r>
            <w:proofErr w:type="gramStart"/>
            <w:r w:rsidRPr="007F5922">
              <w:rPr>
                <w:rFonts w:ascii="Arial" w:hAnsi="Arial" w:cs="Arial"/>
                <w:bCs/>
                <w:sz w:val="24"/>
                <w:szCs w:val="24"/>
              </w:rPr>
              <w:t>enter into</w:t>
            </w:r>
            <w:proofErr w:type="gramEnd"/>
            <w:r w:rsidRPr="007F5922">
              <w:rPr>
                <w:rFonts w:ascii="Arial" w:hAnsi="Arial" w:cs="Arial"/>
                <w:bCs/>
                <w:sz w:val="24"/>
                <w:szCs w:val="24"/>
              </w:rPr>
              <w:t xml:space="preserve"> an OPA with </w:t>
            </w:r>
            <w:proofErr w:type="spellStart"/>
            <w:r w:rsidRPr="007F5922">
              <w:rPr>
                <w:rFonts w:ascii="Arial" w:hAnsi="Arial" w:cs="Arial"/>
                <w:bCs/>
                <w:sz w:val="24"/>
                <w:szCs w:val="24"/>
              </w:rPr>
              <w:t>TransCo</w:t>
            </w:r>
            <w:proofErr w:type="spellEnd"/>
            <w:r w:rsidRPr="007F5922">
              <w:rPr>
                <w:rFonts w:ascii="Arial" w:hAnsi="Arial" w:cs="Arial"/>
                <w:bCs/>
                <w:sz w:val="24"/>
                <w:szCs w:val="24"/>
              </w:rPr>
              <w:t xml:space="preserve"> and Market Operator. The Opt-In Participant shall recognize that it shall remit the Opt-In proceeds to the Market Operator corresponding to the weighted Green Energy Tariff (GET) and Opt-In Capacity generation. </w:t>
            </w:r>
          </w:p>
          <w:p w14:paraId="423FA3A7" w14:textId="77777777" w:rsidR="007F5922" w:rsidRPr="007F5922" w:rsidRDefault="007F5922" w:rsidP="007F5922">
            <w:pPr>
              <w:pStyle w:val="ListParagraph"/>
              <w:ind w:left="567"/>
              <w:jc w:val="both"/>
              <w:rPr>
                <w:rFonts w:ascii="Arial" w:hAnsi="Arial" w:cs="Arial"/>
                <w:bCs/>
                <w:sz w:val="24"/>
                <w:szCs w:val="24"/>
              </w:rPr>
            </w:pPr>
          </w:p>
          <w:p w14:paraId="09613252" w14:textId="77777777" w:rsidR="007F5922" w:rsidRPr="007F5922" w:rsidRDefault="007F5922" w:rsidP="007F5922">
            <w:pPr>
              <w:ind w:left="567"/>
              <w:jc w:val="both"/>
              <w:rPr>
                <w:rFonts w:ascii="Arial" w:hAnsi="Arial" w:cs="Arial"/>
                <w:sz w:val="24"/>
                <w:szCs w:val="24"/>
              </w:rPr>
            </w:pPr>
            <w:r w:rsidRPr="007F5922">
              <w:rPr>
                <w:rFonts w:ascii="Arial" w:hAnsi="Arial" w:cs="Arial"/>
                <w:bCs/>
                <w:sz w:val="24"/>
                <w:szCs w:val="24"/>
              </w:rPr>
              <w:t>The OPA is further defined in Section 8 of this Circular.”</w:t>
            </w:r>
          </w:p>
          <w:p w14:paraId="0FDD5DB7" w14:textId="40C2741B" w:rsidR="00C97D84" w:rsidRPr="007F5922" w:rsidRDefault="00C97D84" w:rsidP="006818EF">
            <w:pPr>
              <w:jc w:val="both"/>
              <w:rPr>
                <w:rFonts w:ascii="Arial" w:hAnsi="Arial" w:cs="Arial"/>
              </w:rPr>
            </w:pPr>
          </w:p>
        </w:tc>
        <w:tc>
          <w:tcPr>
            <w:tcW w:w="5144" w:type="dxa"/>
          </w:tcPr>
          <w:p w14:paraId="369BA539" w14:textId="77777777" w:rsidR="00C97D84" w:rsidRPr="007F5922" w:rsidRDefault="00C97D84" w:rsidP="002F6EA0">
            <w:pPr>
              <w:jc w:val="center"/>
              <w:rPr>
                <w:rFonts w:ascii="Arial" w:hAnsi="Arial" w:cs="Arial"/>
              </w:rPr>
            </w:pPr>
          </w:p>
        </w:tc>
        <w:tc>
          <w:tcPr>
            <w:tcW w:w="4977" w:type="dxa"/>
          </w:tcPr>
          <w:p w14:paraId="6C481E2A" w14:textId="77777777" w:rsidR="00C97D84" w:rsidRPr="007F5922" w:rsidRDefault="00C97D84" w:rsidP="002F6EA0">
            <w:pPr>
              <w:jc w:val="center"/>
              <w:rPr>
                <w:rFonts w:ascii="Arial" w:hAnsi="Arial" w:cs="Arial"/>
              </w:rPr>
            </w:pPr>
          </w:p>
        </w:tc>
      </w:tr>
      <w:tr w:rsidR="00C97D84" w:rsidRPr="007F5922" w14:paraId="4B4BF6FD" w14:textId="01ABAAF3" w:rsidTr="006818EF">
        <w:trPr>
          <w:trHeight w:val="1142"/>
        </w:trPr>
        <w:tc>
          <w:tcPr>
            <w:tcW w:w="4542" w:type="dxa"/>
          </w:tcPr>
          <w:p w14:paraId="11E90FB9" w14:textId="77777777" w:rsidR="007F5922" w:rsidRPr="007F5922" w:rsidRDefault="007F5922">
            <w:pPr>
              <w:pStyle w:val="ListParagraph"/>
              <w:numPr>
                <w:ilvl w:val="0"/>
                <w:numId w:val="4"/>
              </w:numPr>
              <w:ind w:left="567" w:hanging="578"/>
              <w:jc w:val="both"/>
              <w:rPr>
                <w:rFonts w:ascii="Arial" w:hAnsi="Arial" w:cs="Arial"/>
                <w:sz w:val="24"/>
                <w:szCs w:val="24"/>
              </w:rPr>
            </w:pPr>
            <w:r w:rsidRPr="007F5922">
              <w:rPr>
                <w:rFonts w:ascii="Arial" w:hAnsi="Arial" w:cs="Arial"/>
                <w:b/>
                <w:sz w:val="24"/>
                <w:szCs w:val="24"/>
              </w:rPr>
              <w:t>Opt-In Capacity.</w:t>
            </w:r>
            <w:r w:rsidRPr="007F5922">
              <w:rPr>
                <w:rFonts w:ascii="Arial" w:hAnsi="Arial" w:cs="Arial"/>
                <w:sz w:val="24"/>
                <w:szCs w:val="24"/>
              </w:rPr>
              <w:t xml:space="preserve"> The Opt-In Capacity as specified by the Opt-In Participant in the letter request and shall correspondingly be stated in the </w:t>
            </w:r>
            <w:r w:rsidRPr="007F5922">
              <w:rPr>
                <w:rFonts w:ascii="Arial" w:hAnsi="Arial" w:cs="Arial"/>
                <w:bCs/>
                <w:sz w:val="24"/>
                <w:szCs w:val="24"/>
              </w:rPr>
              <w:t>OPA</w:t>
            </w:r>
            <w:r w:rsidRPr="007F5922">
              <w:rPr>
                <w:rFonts w:ascii="Arial" w:hAnsi="Arial" w:cs="Arial"/>
                <w:bCs/>
                <w:color w:val="000000"/>
                <w:sz w:val="24"/>
                <w:szCs w:val="24"/>
              </w:rPr>
              <w:t>.</w:t>
            </w:r>
            <w:r w:rsidRPr="007F5922">
              <w:rPr>
                <w:rFonts w:ascii="Arial" w:hAnsi="Arial" w:cs="Arial"/>
                <w:sz w:val="24"/>
                <w:szCs w:val="24"/>
              </w:rPr>
              <w:t xml:space="preserve"> The corresponding Opt-In energy shall be determined by multiplying the total energy generated by the Winning Bidders by the proportion of the Opt-In Capacity to the total capacity in the GEAP auction round.</w:t>
            </w:r>
          </w:p>
          <w:p w14:paraId="350CEA53" w14:textId="77777777" w:rsidR="007F5922" w:rsidRPr="007F5922" w:rsidRDefault="007F5922" w:rsidP="007F5922">
            <w:pPr>
              <w:jc w:val="both"/>
              <w:rPr>
                <w:rFonts w:ascii="Arial" w:hAnsi="Arial" w:cs="Arial"/>
                <w:sz w:val="24"/>
                <w:szCs w:val="24"/>
              </w:rPr>
            </w:pPr>
          </w:p>
          <w:p w14:paraId="0B67BDB4" w14:textId="4B863BE2" w:rsidR="00C97D84" w:rsidRPr="007F5922" w:rsidRDefault="007F5922" w:rsidP="007F5922">
            <w:pPr>
              <w:ind w:left="603"/>
              <w:contextualSpacing/>
              <w:jc w:val="both"/>
              <w:rPr>
                <w:rFonts w:ascii="Arial" w:eastAsia="SimSun" w:hAnsi="Arial" w:cs="Arial"/>
                <w:lang w:eastAsia="zh-CN"/>
              </w:rPr>
            </w:pPr>
            <w:r w:rsidRPr="007F5922">
              <w:rPr>
                <w:rFonts w:ascii="Arial" w:hAnsi="Arial" w:cs="Arial"/>
                <w:sz w:val="24"/>
                <w:szCs w:val="24"/>
              </w:rPr>
              <w:t xml:space="preserve">GEAP Winning Capacities shall receive compensation based be kept whole </w:t>
            </w:r>
          </w:p>
        </w:tc>
        <w:tc>
          <w:tcPr>
            <w:tcW w:w="5144" w:type="dxa"/>
          </w:tcPr>
          <w:p w14:paraId="6B16230F" w14:textId="77777777" w:rsidR="00C97D84" w:rsidRPr="007F5922" w:rsidRDefault="00C97D84" w:rsidP="002F6EA0">
            <w:pPr>
              <w:jc w:val="center"/>
              <w:rPr>
                <w:rFonts w:ascii="Arial" w:hAnsi="Arial" w:cs="Arial"/>
              </w:rPr>
            </w:pPr>
          </w:p>
        </w:tc>
        <w:tc>
          <w:tcPr>
            <w:tcW w:w="4977" w:type="dxa"/>
          </w:tcPr>
          <w:p w14:paraId="31C9CCDF" w14:textId="77777777" w:rsidR="00C97D84" w:rsidRPr="007F5922" w:rsidRDefault="00C97D84" w:rsidP="002F6EA0">
            <w:pPr>
              <w:jc w:val="center"/>
              <w:rPr>
                <w:rFonts w:ascii="Arial" w:hAnsi="Arial" w:cs="Arial"/>
              </w:rPr>
            </w:pPr>
          </w:p>
        </w:tc>
      </w:tr>
      <w:tr w:rsidR="00C97D84" w:rsidRPr="007F5922" w14:paraId="31708A60" w14:textId="4253E792" w:rsidTr="006818EF">
        <w:trPr>
          <w:trHeight w:val="2708"/>
        </w:trPr>
        <w:tc>
          <w:tcPr>
            <w:tcW w:w="4542" w:type="dxa"/>
            <w:vAlign w:val="center"/>
          </w:tcPr>
          <w:p w14:paraId="0CAD9EFA" w14:textId="77777777" w:rsidR="007F5922" w:rsidRPr="007F5922" w:rsidRDefault="007F5922">
            <w:pPr>
              <w:pStyle w:val="ListParagraph"/>
              <w:numPr>
                <w:ilvl w:val="0"/>
                <w:numId w:val="4"/>
              </w:numPr>
              <w:ind w:left="567" w:hanging="578"/>
              <w:jc w:val="both"/>
              <w:rPr>
                <w:rFonts w:ascii="Arial" w:hAnsi="Arial" w:cs="Arial"/>
                <w:bCs/>
                <w:sz w:val="24"/>
                <w:szCs w:val="24"/>
              </w:rPr>
            </w:pPr>
            <w:r w:rsidRPr="007F5922">
              <w:rPr>
                <w:rFonts w:ascii="Arial" w:hAnsi="Arial" w:cs="Arial"/>
                <w:b/>
                <w:bCs/>
                <w:sz w:val="24"/>
                <w:szCs w:val="24"/>
              </w:rPr>
              <w:lastRenderedPageBreak/>
              <w:t>Opt-In Submission Date</w:t>
            </w:r>
            <w:r w:rsidRPr="007F5922">
              <w:rPr>
                <w:rFonts w:ascii="Arial" w:hAnsi="Arial" w:cs="Arial"/>
                <w:b/>
                <w:sz w:val="24"/>
                <w:szCs w:val="24"/>
              </w:rPr>
              <w:t xml:space="preserve">.  </w:t>
            </w:r>
            <w:r w:rsidRPr="007F5922">
              <w:rPr>
                <w:rFonts w:ascii="Arial" w:hAnsi="Arial" w:cs="Arial"/>
                <w:bCs/>
                <w:sz w:val="24"/>
                <w:szCs w:val="24"/>
              </w:rPr>
              <w:t>RPS Mandated Participants shall file their intent to Opt-In with DOE on or before 15</w:t>
            </w:r>
            <w:r w:rsidRPr="007F5922">
              <w:rPr>
                <w:rFonts w:ascii="Arial" w:hAnsi="Arial" w:cs="Arial"/>
                <w:bCs/>
                <w:sz w:val="24"/>
                <w:szCs w:val="24"/>
                <w:vertAlign w:val="superscript"/>
              </w:rPr>
              <w:t>th</w:t>
            </w:r>
            <w:r w:rsidRPr="007F5922">
              <w:rPr>
                <w:rFonts w:ascii="Arial" w:hAnsi="Arial" w:cs="Arial"/>
                <w:bCs/>
                <w:sz w:val="24"/>
                <w:szCs w:val="24"/>
              </w:rPr>
              <w:t xml:space="preserve"> September each year, to be included in the determination of GEAP capacity to be included in the immediate Auction Round to be conducted by the DOE.  The OPA </w:t>
            </w:r>
            <w:proofErr w:type="gramStart"/>
            <w:r w:rsidRPr="007F5922">
              <w:rPr>
                <w:rFonts w:ascii="Arial" w:hAnsi="Arial" w:cs="Arial"/>
                <w:bCs/>
                <w:sz w:val="24"/>
                <w:szCs w:val="24"/>
              </w:rPr>
              <w:t>entered into</w:t>
            </w:r>
            <w:proofErr w:type="gramEnd"/>
            <w:r w:rsidRPr="007F5922">
              <w:rPr>
                <w:rFonts w:ascii="Arial" w:hAnsi="Arial" w:cs="Arial"/>
                <w:bCs/>
                <w:sz w:val="24"/>
                <w:szCs w:val="24"/>
              </w:rPr>
              <w:t xml:space="preserve"> by the RPS Mandated Participant with </w:t>
            </w:r>
            <w:proofErr w:type="spellStart"/>
            <w:r w:rsidRPr="007F5922">
              <w:rPr>
                <w:rFonts w:ascii="Arial" w:hAnsi="Arial" w:cs="Arial"/>
                <w:bCs/>
                <w:sz w:val="24"/>
                <w:szCs w:val="24"/>
              </w:rPr>
              <w:t>TransCo</w:t>
            </w:r>
            <w:proofErr w:type="spellEnd"/>
            <w:r w:rsidRPr="007F5922">
              <w:rPr>
                <w:rFonts w:ascii="Arial" w:hAnsi="Arial" w:cs="Arial"/>
                <w:bCs/>
                <w:sz w:val="24"/>
                <w:szCs w:val="24"/>
              </w:rPr>
              <w:t xml:space="preserve"> and Market Operator shall take effect within 120 days from the Winning Bidders' issuance of Notice of Award (NOA).  However, the OPA start date shall be the date when the Specific GEAP Round Winning Capacities start injecting power into the grid.  All Opt-In Capacities shall be considered by the </w:t>
            </w:r>
            <w:proofErr w:type="spellStart"/>
            <w:r w:rsidRPr="007F5922">
              <w:rPr>
                <w:rFonts w:ascii="Arial" w:hAnsi="Arial" w:cs="Arial"/>
                <w:bCs/>
                <w:sz w:val="24"/>
                <w:szCs w:val="24"/>
              </w:rPr>
              <w:t>TransCo</w:t>
            </w:r>
            <w:proofErr w:type="spellEnd"/>
            <w:r w:rsidRPr="007F5922">
              <w:rPr>
                <w:rFonts w:ascii="Arial" w:hAnsi="Arial" w:cs="Arial"/>
                <w:bCs/>
                <w:sz w:val="24"/>
                <w:szCs w:val="24"/>
              </w:rPr>
              <w:t xml:space="preserve"> in its estimated FIT-All requirements for the particular year to be filed with the ERC in the immediately preceding year.</w:t>
            </w:r>
          </w:p>
          <w:p w14:paraId="4369CD70" w14:textId="5FE03087" w:rsidR="0017218C" w:rsidRPr="007F5922" w:rsidRDefault="0017218C" w:rsidP="0017218C">
            <w:pPr>
              <w:ind w:right="39"/>
              <w:jc w:val="both"/>
              <w:rPr>
                <w:sz w:val="24"/>
                <w:szCs w:val="24"/>
              </w:rPr>
            </w:pPr>
          </w:p>
        </w:tc>
        <w:tc>
          <w:tcPr>
            <w:tcW w:w="5144" w:type="dxa"/>
          </w:tcPr>
          <w:p w14:paraId="596FCF4C" w14:textId="77777777" w:rsidR="00C97D84" w:rsidRPr="007F5922" w:rsidRDefault="00C97D84" w:rsidP="008B11AC">
            <w:pPr>
              <w:jc w:val="both"/>
              <w:rPr>
                <w:rFonts w:ascii="Arial" w:hAnsi="Arial" w:cs="Arial"/>
              </w:rPr>
            </w:pPr>
          </w:p>
        </w:tc>
        <w:tc>
          <w:tcPr>
            <w:tcW w:w="4977" w:type="dxa"/>
          </w:tcPr>
          <w:p w14:paraId="27E79DB6" w14:textId="77777777" w:rsidR="00C97D84" w:rsidRPr="007F5922" w:rsidRDefault="00C97D84" w:rsidP="008B11AC">
            <w:pPr>
              <w:jc w:val="both"/>
              <w:rPr>
                <w:rFonts w:ascii="Arial" w:hAnsi="Arial" w:cs="Arial"/>
              </w:rPr>
            </w:pPr>
          </w:p>
        </w:tc>
      </w:tr>
      <w:tr w:rsidR="0017218C" w:rsidRPr="007F5922" w14:paraId="7D9DF134" w14:textId="77777777" w:rsidTr="0017218C">
        <w:trPr>
          <w:trHeight w:val="1752"/>
        </w:trPr>
        <w:tc>
          <w:tcPr>
            <w:tcW w:w="4542" w:type="dxa"/>
            <w:vAlign w:val="center"/>
          </w:tcPr>
          <w:p w14:paraId="4369A490" w14:textId="77777777" w:rsidR="007F5922" w:rsidRPr="007F5922" w:rsidRDefault="007F5922">
            <w:pPr>
              <w:pStyle w:val="ListParagraph"/>
              <w:numPr>
                <w:ilvl w:val="0"/>
                <w:numId w:val="4"/>
              </w:numPr>
              <w:ind w:left="567" w:hanging="578"/>
              <w:jc w:val="both"/>
              <w:rPr>
                <w:rFonts w:ascii="Arial" w:hAnsi="Arial" w:cs="Arial"/>
                <w:bCs/>
                <w:sz w:val="24"/>
                <w:szCs w:val="24"/>
              </w:rPr>
            </w:pPr>
            <w:r w:rsidRPr="007F5922">
              <w:rPr>
                <w:rFonts w:ascii="Arial" w:hAnsi="Arial" w:cs="Arial"/>
                <w:b/>
                <w:sz w:val="24"/>
                <w:szCs w:val="24"/>
              </w:rPr>
              <w:t>CSP Exemption.</w:t>
            </w:r>
            <w:r w:rsidRPr="007F5922">
              <w:rPr>
                <w:rFonts w:ascii="Arial" w:hAnsi="Arial" w:cs="Arial"/>
                <w:sz w:val="24"/>
                <w:szCs w:val="24"/>
              </w:rPr>
              <w:t xml:space="preserve"> Any DU that exercised </w:t>
            </w:r>
            <w:r w:rsidRPr="007F5922">
              <w:rPr>
                <w:rFonts w:ascii="Arial" w:hAnsi="Arial" w:cs="Arial"/>
                <w:bCs/>
                <w:sz w:val="24"/>
                <w:szCs w:val="24"/>
              </w:rPr>
              <w:t xml:space="preserve">Opt-In Mechanism shall be deemed compliant with the Competitive Selection Process (CSP) requirement of the DOE considering the GEAP Winning Bids are below the ERC-set GEAR Prices for the </w:t>
            </w:r>
            <w:proofErr w:type="gramStart"/>
            <w:r w:rsidRPr="007F5922">
              <w:rPr>
                <w:rFonts w:ascii="Arial" w:hAnsi="Arial" w:cs="Arial"/>
                <w:bCs/>
                <w:sz w:val="24"/>
                <w:szCs w:val="24"/>
              </w:rPr>
              <w:t>particular GEAP</w:t>
            </w:r>
            <w:proofErr w:type="gramEnd"/>
            <w:r w:rsidRPr="007F5922">
              <w:rPr>
                <w:rFonts w:ascii="Arial" w:hAnsi="Arial" w:cs="Arial"/>
                <w:bCs/>
                <w:sz w:val="24"/>
                <w:szCs w:val="24"/>
              </w:rPr>
              <w:t xml:space="preserve"> Auction Round.</w:t>
            </w:r>
          </w:p>
          <w:p w14:paraId="339EC817" w14:textId="76D779D4" w:rsidR="0017218C" w:rsidRPr="007F5922" w:rsidRDefault="0017218C" w:rsidP="0017218C">
            <w:pPr>
              <w:ind w:right="39"/>
              <w:jc w:val="both"/>
              <w:rPr>
                <w:b/>
                <w:sz w:val="24"/>
                <w:szCs w:val="24"/>
              </w:rPr>
            </w:pPr>
          </w:p>
        </w:tc>
        <w:tc>
          <w:tcPr>
            <w:tcW w:w="5144" w:type="dxa"/>
          </w:tcPr>
          <w:p w14:paraId="6D6ED984" w14:textId="77777777" w:rsidR="0017218C" w:rsidRPr="007F5922" w:rsidRDefault="0017218C" w:rsidP="008B11AC">
            <w:pPr>
              <w:jc w:val="both"/>
              <w:rPr>
                <w:rFonts w:ascii="Arial" w:hAnsi="Arial" w:cs="Arial"/>
              </w:rPr>
            </w:pPr>
          </w:p>
        </w:tc>
        <w:tc>
          <w:tcPr>
            <w:tcW w:w="4977" w:type="dxa"/>
          </w:tcPr>
          <w:p w14:paraId="509BA1E0" w14:textId="77777777" w:rsidR="0017218C" w:rsidRPr="007F5922" w:rsidRDefault="0017218C" w:rsidP="008B11AC">
            <w:pPr>
              <w:jc w:val="both"/>
              <w:rPr>
                <w:rFonts w:ascii="Arial" w:hAnsi="Arial" w:cs="Arial"/>
              </w:rPr>
            </w:pPr>
          </w:p>
        </w:tc>
      </w:tr>
      <w:tr w:rsidR="0017218C" w:rsidRPr="007F5922" w14:paraId="2A1F57FF" w14:textId="77777777" w:rsidTr="0017218C">
        <w:trPr>
          <w:trHeight w:val="1164"/>
        </w:trPr>
        <w:tc>
          <w:tcPr>
            <w:tcW w:w="4542" w:type="dxa"/>
            <w:vAlign w:val="center"/>
          </w:tcPr>
          <w:p w14:paraId="2816C192" w14:textId="77777777" w:rsidR="007F5922" w:rsidRPr="007F5922" w:rsidRDefault="007F5922" w:rsidP="007F5922">
            <w:pPr>
              <w:contextualSpacing/>
              <w:jc w:val="both"/>
              <w:rPr>
                <w:rFonts w:ascii="Arial" w:hAnsi="Arial" w:cs="Arial"/>
                <w:sz w:val="24"/>
                <w:szCs w:val="24"/>
              </w:rPr>
            </w:pPr>
            <w:r w:rsidRPr="007F5922">
              <w:rPr>
                <w:rFonts w:ascii="Arial" w:hAnsi="Arial" w:cs="Arial"/>
                <w:b/>
                <w:sz w:val="24"/>
                <w:szCs w:val="24"/>
              </w:rPr>
              <w:lastRenderedPageBreak/>
              <w:t xml:space="preserve">Section 6. Decrease in FIT-All Charge. </w:t>
            </w:r>
            <w:r w:rsidRPr="007F5922">
              <w:rPr>
                <w:rFonts w:ascii="Arial" w:hAnsi="Arial" w:cs="Arial"/>
                <w:sz w:val="24"/>
                <w:szCs w:val="24"/>
              </w:rPr>
              <w:t xml:space="preserve">The FIT-All Fund requirement represents the difference between the ERC-approved FIT rate and the prevailing market price (Cost Recovery Rate or CRR), plus other components. The Opting-in by RPS Mandated Participants shall decrease the FIT-All Fund requirement, which will eventually reduce the FIT-All rate charged to end-users. </w:t>
            </w:r>
          </w:p>
          <w:p w14:paraId="0C0CB590" w14:textId="77777777" w:rsidR="007F5922" w:rsidRPr="007F5922" w:rsidRDefault="007F5922" w:rsidP="007F5922">
            <w:pPr>
              <w:contextualSpacing/>
              <w:jc w:val="both"/>
              <w:rPr>
                <w:rFonts w:ascii="Arial" w:hAnsi="Arial" w:cs="Arial"/>
                <w:sz w:val="24"/>
                <w:szCs w:val="24"/>
              </w:rPr>
            </w:pPr>
          </w:p>
          <w:p w14:paraId="5E9E1FA4" w14:textId="77777777" w:rsidR="007F5922" w:rsidRPr="007F5922" w:rsidRDefault="007F5922" w:rsidP="007F5922">
            <w:pPr>
              <w:contextualSpacing/>
              <w:jc w:val="both"/>
              <w:rPr>
                <w:rFonts w:ascii="Arial" w:hAnsi="Arial" w:cs="Arial"/>
                <w:sz w:val="24"/>
                <w:szCs w:val="24"/>
              </w:rPr>
            </w:pPr>
            <w:commentRangeStart w:id="5"/>
            <w:r w:rsidRPr="007F5922">
              <w:rPr>
                <w:rFonts w:ascii="Arial" w:hAnsi="Arial" w:cs="Arial"/>
                <w:sz w:val="24"/>
                <w:szCs w:val="24"/>
              </w:rPr>
              <w:t xml:space="preserve">The Opt-In Participants </w:t>
            </w:r>
            <w:commentRangeEnd w:id="5"/>
            <w:r w:rsidRPr="007F5922">
              <w:rPr>
                <w:rStyle w:val="CommentReference"/>
              </w:rPr>
              <w:commentReference w:id="5"/>
            </w:r>
            <w:r w:rsidRPr="007F5922">
              <w:rPr>
                <w:rFonts w:ascii="Arial" w:hAnsi="Arial" w:cs="Arial"/>
                <w:sz w:val="24"/>
                <w:szCs w:val="24"/>
              </w:rPr>
              <w:t xml:space="preserve">shall pay the Opt-In proceeds to the </w:t>
            </w:r>
            <w:r w:rsidRPr="007F5922">
              <w:rPr>
                <w:rFonts w:ascii="Arial" w:hAnsi="Arial" w:cs="Arial"/>
                <w:bCs/>
                <w:sz w:val="24"/>
                <w:szCs w:val="24"/>
              </w:rPr>
              <w:t xml:space="preserve">Market Operator </w:t>
            </w:r>
            <w:r w:rsidRPr="007F5922">
              <w:rPr>
                <w:rFonts w:ascii="Arial" w:hAnsi="Arial" w:cs="Arial"/>
                <w:sz w:val="24"/>
                <w:szCs w:val="24"/>
              </w:rPr>
              <w:t xml:space="preserve">corresponding to their Opt-In Capacity and weighted average GET.  The payments of the Opt-In Participants under the </w:t>
            </w:r>
            <w:r w:rsidRPr="007F5922">
              <w:rPr>
                <w:rFonts w:ascii="Arial" w:hAnsi="Arial" w:cs="Arial"/>
                <w:bCs/>
                <w:sz w:val="24"/>
                <w:szCs w:val="24"/>
              </w:rPr>
              <w:t>OPA</w:t>
            </w:r>
            <w:r w:rsidRPr="007F5922">
              <w:rPr>
                <w:rFonts w:ascii="Arial" w:hAnsi="Arial" w:cs="Arial"/>
                <w:sz w:val="24"/>
                <w:szCs w:val="24"/>
              </w:rPr>
              <w:t xml:space="preserve"> shall accrue under the FIT-All Fund administered by </w:t>
            </w:r>
            <w:proofErr w:type="spellStart"/>
            <w:r w:rsidRPr="007F5922">
              <w:rPr>
                <w:rFonts w:ascii="Arial" w:hAnsi="Arial" w:cs="Arial"/>
                <w:sz w:val="24"/>
                <w:szCs w:val="24"/>
              </w:rPr>
              <w:t>TransCo</w:t>
            </w:r>
            <w:proofErr w:type="spellEnd"/>
            <w:r w:rsidRPr="007F5922">
              <w:rPr>
                <w:rFonts w:ascii="Arial" w:hAnsi="Arial" w:cs="Arial"/>
                <w:sz w:val="24"/>
                <w:szCs w:val="24"/>
              </w:rPr>
              <w:t xml:space="preserve">. </w:t>
            </w:r>
          </w:p>
          <w:p w14:paraId="7330B79C" w14:textId="77777777" w:rsidR="007F5922" w:rsidRPr="007F5922" w:rsidRDefault="007F5922" w:rsidP="007F5922">
            <w:pPr>
              <w:contextualSpacing/>
              <w:jc w:val="both"/>
              <w:rPr>
                <w:rFonts w:ascii="Arial" w:hAnsi="Arial" w:cs="Arial"/>
                <w:sz w:val="24"/>
                <w:szCs w:val="24"/>
              </w:rPr>
            </w:pPr>
          </w:p>
          <w:p w14:paraId="2F00BE21" w14:textId="77777777" w:rsidR="007F5922" w:rsidRPr="007F5922" w:rsidRDefault="007F5922" w:rsidP="007F5922">
            <w:pPr>
              <w:contextualSpacing/>
              <w:jc w:val="both"/>
              <w:rPr>
                <w:rFonts w:ascii="Arial" w:hAnsi="Arial" w:cs="Arial"/>
                <w:sz w:val="24"/>
                <w:szCs w:val="24"/>
              </w:rPr>
            </w:pPr>
            <w:commentRangeStart w:id="6"/>
            <w:proofErr w:type="spellStart"/>
            <w:r w:rsidRPr="007F5922">
              <w:rPr>
                <w:rFonts w:ascii="Arial" w:hAnsi="Arial" w:cs="Arial"/>
                <w:sz w:val="24"/>
                <w:szCs w:val="24"/>
              </w:rPr>
              <w:t>TransCo</w:t>
            </w:r>
            <w:proofErr w:type="spellEnd"/>
            <w:r w:rsidRPr="007F5922">
              <w:rPr>
                <w:rFonts w:ascii="Arial" w:hAnsi="Arial" w:cs="Arial"/>
                <w:sz w:val="24"/>
                <w:szCs w:val="24"/>
              </w:rPr>
              <w:t xml:space="preserve"> shall report the reductions in FIT-All charges attributable to the Opt-In transactions to the DOE and ERC.</w:t>
            </w:r>
            <w:commentRangeEnd w:id="6"/>
            <w:r w:rsidRPr="007F5922">
              <w:rPr>
                <w:rStyle w:val="CommentReference"/>
              </w:rPr>
              <w:commentReference w:id="6"/>
            </w:r>
          </w:p>
          <w:p w14:paraId="0ADBBAAF" w14:textId="77777777" w:rsidR="0017218C" w:rsidRPr="007F5922" w:rsidRDefault="0017218C" w:rsidP="0017218C">
            <w:pPr>
              <w:ind w:right="39"/>
              <w:jc w:val="both"/>
              <w:rPr>
                <w:b/>
                <w:sz w:val="24"/>
                <w:szCs w:val="24"/>
              </w:rPr>
            </w:pPr>
          </w:p>
        </w:tc>
        <w:tc>
          <w:tcPr>
            <w:tcW w:w="5144" w:type="dxa"/>
          </w:tcPr>
          <w:p w14:paraId="2A957217" w14:textId="77777777" w:rsidR="0017218C" w:rsidRPr="007F5922" w:rsidRDefault="0017218C" w:rsidP="008B11AC">
            <w:pPr>
              <w:jc w:val="both"/>
              <w:rPr>
                <w:rFonts w:ascii="Arial" w:hAnsi="Arial" w:cs="Arial"/>
              </w:rPr>
            </w:pPr>
          </w:p>
        </w:tc>
        <w:tc>
          <w:tcPr>
            <w:tcW w:w="4977" w:type="dxa"/>
          </w:tcPr>
          <w:p w14:paraId="42469DC5" w14:textId="77777777" w:rsidR="0017218C" w:rsidRPr="007F5922" w:rsidRDefault="0017218C" w:rsidP="008B11AC">
            <w:pPr>
              <w:jc w:val="both"/>
              <w:rPr>
                <w:rFonts w:ascii="Arial" w:hAnsi="Arial" w:cs="Arial"/>
              </w:rPr>
            </w:pPr>
          </w:p>
        </w:tc>
      </w:tr>
      <w:tr w:rsidR="0017218C" w:rsidRPr="007F5922" w14:paraId="3E29FBD4" w14:textId="77777777" w:rsidTr="0017218C">
        <w:trPr>
          <w:trHeight w:val="1164"/>
        </w:trPr>
        <w:tc>
          <w:tcPr>
            <w:tcW w:w="4542" w:type="dxa"/>
            <w:vAlign w:val="center"/>
          </w:tcPr>
          <w:p w14:paraId="517E5482" w14:textId="77777777" w:rsidR="007F5922" w:rsidRPr="007F5922" w:rsidRDefault="007F5922" w:rsidP="007F5922">
            <w:pPr>
              <w:contextualSpacing/>
              <w:jc w:val="both"/>
              <w:rPr>
                <w:rFonts w:ascii="Arial" w:hAnsi="Arial" w:cs="Arial"/>
                <w:sz w:val="24"/>
                <w:szCs w:val="24"/>
              </w:rPr>
            </w:pPr>
            <w:commentRangeStart w:id="7"/>
            <w:r w:rsidRPr="007F5922">
              <w:rPr>
                <w:rFonts w:ascii="Arial" w:hAnsi="Arial" w:cs="Arial"/>
                <w:b/>
                <w:sz w:val="24"/>
                <w:szCs w:val="24"/>
              </w:rPr>
              <w:t xml:space="preserve">Section 7. Pricing. </w:t>
            </w:r>
            <w:commentRangeEnd w:id="7"/>
            <w:r w:rsidRPr="007F5922">
              <w:rPr>
                <w:rStyle w:val="CommentReference"/>
              </w:rPr>
              <w:commentReference w:id="7"/>
            </w:r>
            <w:r w:rsidRPr="007F5922">
              <w:rPr>
                <w:rFonts w:ascii="Arial" w:hAnsi="Arial" w:cs="Arial"/>
                <w:sz w:val="24"/>
                <w:szCs w:val="24"/>
              </w:rPr>
              <w:t xml:space="preserve">The </w:t>
            </w:r>
            <w:proofErr w:type="spellStart"/>
            <w:r w:rsidRPr="007F5922">
              <w:rPr>
                <w:rFonts w:ascii="Arial" w:hAnsi="Arial" w:cs="Arial"/>
                <w:sz w:val="24"/>
                <w:szCs w:val="24"/>
              </w:rPr>
              <w:t>TransCo</w:t>
            </w:r>
            <w:proofErr w:type="spellEnd"/>
            <w:r w:rsidRPr="007F5922">
              <w:rPr>
                <w:rFonts w:ascii="Arial" w:hAnsi="Arial" w:cs="Arial"/>
                <w:sz w:val="24"/>
                <w:szCs w:val="24"/>
              </w:rPr>
              <w:t xml:space="preserve"> shall calculate the weighted average GET (</w:t>
            </w:r>
            <w:proofErr w:type="spellStart"/>
            <w:r w:rsidRPr="007F5922">
              <w:rPr>
                <w:rFonts w:ascii="Arial" w:hAnsi="Arial" w:cs="Arial"/>
                <w:sz w:val="24"/>
                <w:szCs w:val="24"/>
              </w:rPr>
              <w:t>Php</w:t>
            </w:r>
            <w:proofErr w:type="spellEnd"/>
            <w:r w:rsidRPr="007F5922">
              <w:rPr>
                <w:rFonts w:ascii="Arial" w:hAnsi="Arial" w:cs="Arial"/>
                <w:sz w:val="24"/>
                <w:szCs w:val="24"/>
              </w:rPr>
              <w:t xml:space="preserve">/kWh) by dividing the total amount to be paid to all the Winning Bidders for a particular auction round by their total energy generated. The weighted average GET corresponding to the Opt-In Capacity shall be charged, not against the FIT-All rate, but against the Opt-In Participants as part of the generation charge payable by and collected from the relevant Captive. </w:t>
            </w:r>
          </w:p>
          <w:p w14:paraId="767CE02E" w14:textId="77777777" w:rsidR="007F5922" w:rsidRPr="007F5922" w:rsidRDefault="007F5922" w:rsidP="007F5922">
            <w:pPr>
              <w:contextualSpacing/>
              <w:jc w:val="both"/>
              <w:rPr>
                <w:rFonts w:ascii="Arial" w:hAnsi="Arial" w:cs="Arial"/>
                <w:sz w:val="24"/>
                <w:szCs w:val="24"/>
              </w:rPr>
            </w:pPr>
          </w:p>
          <w:p w14:paraId="2FB14690" w14:textId="77777777" w:rsidR="007F5922" w:rsidRPr="007F5922" w:rsidRDefault="007F5922" w:rsidP="007F5922">
            <w:pPr>
              <w:contextualSpacing/>
              <w:jc w:val="both"/>
              <w:rPr>
                <w:rFonts w:ascii="Arial" w:hAnsi="Arial" w:cs="Arial"/>
                <w:sz w:val="24"/>
                <w:szCs w:val="24"/>
              </w:rPr>
            </w:pPr>
            <w:r w:rsidRPr="007F5922">
              <w:rPr>
                <w:rFonts w:ascii="Arial" w:hAnsi="Arial" w:cs="Arial"/>
                <w:sz w:val="24"/>
                <w:szCs w:val="24"/>
              </w:rPr>
              <w:lastRenderedPageBreak/>
              <w:t>The Opt-In Participants shall pay the weighted average GET price as per Sections 6, 8(b), and 8(c) of this Circular.</w:t>
            </w:r>
          </w:p>
          <w:p w14:paraId="00224822" w14:textId="58370316" w:rsidR="0017218C" w:rsidRPr="007F5922" w:rsidRDefault="0017218C" w:rsidP="0017218C">
            <w:pPr>
              <w:tabs>
                <w:tab w:val="left" w:pos="0"/>
              </w:tabs>
              <w:ind w:right="39"/>
              <w:jc w:val="both"/>
              <w:rPr>
                <w:b/>
                <w:sz w:val="24"/>
                <w:szCs w:val="24"/>
              </w:rPr>
            </w:pPr>
          </w:p>
        </w:tc>
        <w:tc>
          <w:tcPr>
            <w:tcW w:w="5144" w:type="dxa"/>
          </w:tcPr>
          <w:p w14:paraId="3E35E13F" w14:textId="77777777" w:rsidR="0017218C" w:rsidRPr="007F5922" w:rsidRDefault="0017218C" w:rsidP="008B11AC">
            <w:pPr>
              <w:jc w:val="both"/>
              <w:rPr>
                <w:rFonts w:ascii="Arial" w:hAnsi="Arial" w:cs="Arial"/>
              </w:rPr>
            </w:pPr>
          </w:p>
        </w:tc>
        <w:tc>
          <w:tcPr>
            <w:tcW w:w="4977" w:type="dxa"/>
          </w:tcPr>
          <w:p w14:paraId="340EFDC3" w14:textId="77777777" w:rsidR="0017218C" w:rsidRPr="007F5922" w:rsidRDefault="0017218C" w:rsidP="008B11AC">
            <w:pPr>
              <w:jc w:val="both"/>
              <w:rPr>
                <w:rFonts w:ascii="Arial" w:hAnsi="Arial" w:cs="Arial"/>
              </w:rPr>
            </w:pPr>
          </w:p>
        </w:tc>
      </w:tr>
      <w:tr w:rsidR="0017218C" w:rsidRPr="007F5922" w14:paraId="3EF49B44" w14:textId="77777777" w:rsidTr="0017218C">
        <w:trPr>
          <w:trHeight w:val="1164"/>
        </w:trPr>
        <w:tc>
          <w:tcPr>
            <w:tcW w:w="4542" w:type="dxa"/>
            <w:vAlign w:val="center"/>
          </w:tcPr>
          <w:p w14:paraId="59650983" w14:textId="77777777" w:rsidR="007F5922" w:rsidRPr="007F5922" w:rsidRDefault="007F5922" w:rsidP="007F5922">
            <w:pPr>
              <w:contextualSpacing/>
              <w:jc w:val="center"/>
              <w:rPr>
                <w:rFonts w:ascii="Arial" w:hAnsi="Arial" w:cs="Arial"/>
                <w:b/>
                <w:sz w:val="24"/>
                <w:szCs w:val="24"/>
              </w:rPr>
            </w:pPr>
            <w:r w:rsidRPr="007F5922">
              <w:rPr>
                <w:rFonts w:ascii="Arial" w:hAnsi="Arial" w:cs="Arial"/>
                <w:b/>
                <w:sz w:val="24"/>
                <w:szCs w:val="24"/>
              </w:rPr>
              <w:t>REVISIONS TO FIT RULES, FIT ALL GUIDELINES, AND ADDITIONAL RELATED TEMPLATE</w:t>
            </w:r>
          </w:p>
          <w:p w14:paraId="142AC035" w14:textId="77777777" w:rsidR="007F5922" w:rsidRPr="007F5922" w:rsidRDefault="007F5922" w:rsidP="007F5922">
            <w:pPr>
              <w:contextualSpacing/>
              <w:jc w:val="both"/>
              <w:rPr>
                <w:rFonts w:ascii="Arial" w:hAnsi="Arial" w:cs="Arial"/>
                <w:sz w:val="24"/>
                <w:szCs w:val="24"/>
              </w:rPr>
            </w:pPr>
          </w:p>
          <w:p w14:paraId="471C6E05" w14:textId="77777777" w:rsidR="007F5922" w:rsidRPr="007F5922" w:rsidRDefault="007F5922" w:rsidP="007F5922">
            <w:pPr>
              <w:contextualSpacing/>
              <w:jc w:val="both"/>
              <w:rPr>
                <w:rFonts w:ascii="Arial" w:hAnsi="Arial" w:cs="Arial"/>
                <w:sz w:val="24"/>
                <w:szCs w:val="24"/>
              </w:rPr>
            </w:pPr>
            <w:r w:rsidRPr="007F5922">
              <w:rPr>
                <w:rFonts w:ascii="Arial" w:hAnsi="Arial" w:cs="Arial"/>
                <w:b/>
                <w:sz w:val="24"/>
                <w:szCs w:val="24"/>
              </w:rPr>
              <w:t xml:space="preserve">Section 8. </w:t>
            </w:r>
            <w:r w:rsidRPr="007F5922">
              <w:rPr>
                <w:rFonts w:ascii="Arial" w:hAnsi="Arial" w:cs="Arial"/>
                <w:b/>
                <w:color w:val="000000"/>
                <w:sz w:val="24"/>
                <w:szCs w:val="24"/>
              </w:rPr>
              <w:t>O</w:t>
            </w:r>
            <w:r w:rsidRPr="007F5922">
              <w:rPr>
                <w:rFonts w:ascii="Arial" w:hAnsi="Arial" w:cs="Arial"/>
                <w:b/>
                <w:sz w:val="24"/>
                <w:szCs w:val="24"/>
              </w:rPr>
              <w:t xml:space="preserve">pt-In Participation Agreement Template. </w:t>
            </w:r>
            <w:r w:rsidRPr="007F5922">
              <w:rPr>
                <w:rFonts w:ascii="Arial" w:hAnsi="Arial" w:cs="Arial"/>
                <w:sz w:val="24"/>
                <w:szCs w:val="24"/>
              </w:rPr>
              <w:t>The ERC shall formulate and approve an OPA template with the following features:</w:t>
            </w:r>
          </w:p>
          <w:p w14:paraId="28B59B92" w14:textId="77777777" w:rsidR="007F5922" w:rsidRPr="007F5922" w:rsidRDefault="007F5922" w:rsidP="007F5922">
            <w:pPr>
              <w:contextualSpacing/>
              <w:jc w:val="both"/>
              <w:rPr>
                <w:rFonts w:ascii="Arial" w:hAnsi="Arial" w:cs="Arial"/>
                <w:sz w:val="24"/>
                <w:szCs w:val="24"/>
              </w:rPr>
            </w:pPr>
          </w:p>
          <w:p w14:paraId="5A1DFD24" w14:textId="77777777" w:rsidR="007F5922" w:rsidRPr="007F5922" w:rsidRDefault="007F5922">
            <w:pPr>
              <w:pStyle w:val="ListParagraph"/>
              <w:numPr>
                <w:ilvl w:val="0"/>
                <w:numId w:val="5"/>
              </w:numPr>
              <w:ind w:left="567" w:right="239" w:hanging="567"/>
              <w:jc w:val="both"/>
              <w:rPr>
                <w:rFonts w:ascii="Arial" w:hAnsi="Arial" w:cs="Arial"/>
                <w:sz w:val="24"/>
                <w:szCs w:val="24"/>
              </w:rPr>
            </w:pPr>
            <w:r w:rsidRPr="007F5922">
              <w:rPr>
                <w:rFonts w:ascii="Arial" w:hAnsi="Arial" w:cs="Arial"/>
                <w:sz w:val="24"/>
                <w:szCs w:val="24"/>
              </w:rPr>
              <w:t>The Market Operator shall provide the following:</w:t>
            </w:r>
          </w:p>
          <w:p w14:paraId="4B852465" w14:textId="77777777" w:rsidR="007F5922" w:rsidRPr="007F5922" w:rsidRDefault="007F5922" w:rsidP="007F5922">
            <w:pPr>
              <w:ind w:left="1440" w:hanging="540"/>
              <w:contextualSpacing/>
              <w:jc w:val="both"/>
              <w:rPr>
                <w:rFonts w:ascii="Arial" w:hAnsi="Arial" w:cs="Arial"/>
                <w:sz w:val="24"/>
                <w:szCs w:val="24"/>
              </w:rPr>
            </w:pPr>
          </w:p>
          <w:p w14:paraId="4DD21A1F" w14:textId="77777777" w:rsidR="007F5922" w:rsidRPr="007F5922" w:rsidRDefault="007F5922">
            <w:pPr>
              <w:pStyle w:val="ListParagraph"/>
              <w:numPr>
                <w:ilvl w:val="0"/>
                <w:numId w:val="6"/>
              </w:numPr>
              <w:ind w:left="1134" w:right="240" w:hanging="567"/>
              <w:jc w:val="both"/>
              <w:rPr>
                <w:rFonts w:ascii="Arial" w:hAnsi="Arial" w:cs="Arial"/>
                <w:sz w:val="24"/>
                <w:szCs w:val="24"/>
              </w:rPr>
            </w:pPr>
            <w:r w:rsidRPr="007F5922">
              <w:rPr>
                <w:rFonts w:ascii="Arial" w:hAnsi="Arial" w:cs="Arial"/>
                <w:sz w:val="24"/>
                <w:szCs w:val="24"/>
              </w:rPr>
              <w:t xml:space="preserve">Monthly energy generated by RE Developers under GEAP to </w:t>
            </w:r>
            <w:proofErr w:type="spellStart"/>
            <w:r w:rsidRPr="007F5922">
              <w:rPr>
                <w:rFonts w:ascii="Arial" w:hAnsi="Arial" w:cs="Arial"/>
                <w:sz w:val="24"/>
                <w:szCs w:val="24"/>
              </w:rPr>
              <w:t>TransCo</w:t>
            </w:r>
            <w:proofErr w:type="spellEnd"/>
            <w:r w:rsidRPr="007F5922">
              <w:rPr>
                <w:rFonts w:ascii="Arial" w:hAnsi="Arial" w:cs="Arial"/>
                <w:sz w:val="24"/>
                <w:szCs w:val="24"/>
              </w:rPr>
              <w:t xml:space="preserve"> for the computation of the weighted average GET. </w:t>
            </w:r>
          </w:p>
          <w:p w14:paraId="1040F287" w14:textId="77777777" w:rsidR="007F5922" w:rsidRPr="007F5922" w:rsidRDefault="007F5922" w:rsidP="007F5922">
            <w:pPr>
              <w:ind w:left="2340" w:right="240" w:hanging="1593"/>
              <w:contextualSpacing/>
              <w:jc w:val="both"/>
              <w:rPr>
                <w:rFonts w:ascii="Arial" w:hAnsi="Arial" w:cs="Arial"/>
                <w:sz w:val="24"/>
                <w:szCs w:val="24"/>
              </w:rPr>
            </w:pPr>
          </w:p>
          <w:p w14:paraId="26A4E1A9" w14:textId="77777777" w:rsidR="007F5922" w:rsidRPr="007F5922" w:rsidRDefault="007F5922">
            <w:pPr>
              <w:pStyle w:val="ListParagraph"/>
              <w:numPr>
                <w:ilvl w:val="0"/>
                <w:numId w:val="6"/>
              </w:numPr>
              <w:ind w:left="1134" w:right="240" w:hanging="567"/>
              <w:jc w:val="both"/>
              <w:rPr>
                <w:rFonts w:ascii="Arial" w:hAnsi="Arial" w:cs="Arial"/>
                <w:sz w:val="24"/>
                <w:szCs w:val="24"/>
              </w:rPr>
            </w:pPr>
            <w:r w:rsidRPr="007F5922">
              <w:rPr>
                <w:rFonts w:ascii="Arial" w:hAnsi="Arial" w:cs="Arial"/>
                <w:sz w:val="24"/>
                <w:szCs w:val="24"/>
              </w:rPr>
              <w:t xml:space="preserve">Upon </w:t>
            </w:r>
            <w:proofErr w:type="spellStart"/>
            <w:r w:rsidRPr="007F5922">
              <w:rPr>
                <w:rFonts w:ascii="Arial" w:hAnsi="Arial" w:cs="Arial"/>
                <w:sz w:val="24"/>
                <w:szCs w:val="24"/>
              </w:rPr>
              <w:t>TransCo’s</w:t>
            </w:r>
            <w:proofErr w:type="spellEnd"/>
            <w:r w:rsidRPr="007F5922">
              <w:rPr>
                <w:rFonts w:ascii="Arial" w:hAnsi="Arial" w:cs="Arial"/>
                <w:sz w:val="24"/>
                <w:szCs w:val="24"/>
              </w:rPr>
              <w:t xml:space="preserve"> submission of the weighted average GET, the Market Operator shall prepare a Summary of settlement allocation including the Opt-in transactions as described in Section 5(c).</w:t>
            </w:r>
          </w:p>
          <w:p w14:paraId="1E71E836" w14:textId="77777777" w:rsidR="007F5922" w:rsidRPr="007F5922" w:rsidRDefault="007F5922" w:rsidP="007F5922">
            <w:pPr>
              <w:tabs>
                <w:tab w:val="left" w:pos="1180"/>
                <w:tab w:val="left" w:pos="2520"/>
              </w:tabs>
              <w:ind w:left="2340" w:right="240" w:hanging="900"/>
              <w:contextualSpacing/>
              <w:jc w:val="both"/>
              <w:rPr>
                <w:rFonts w:ascii="Arial" w:hAnsi="Arial" w:cs="Arial"/>
                <w:sz w:val="24"/>
                <w:szCs w:val="24"/>
              </w:rPr>
            </w:pPr>
          </w:p>
          <w:p w14:paraId="2D4190B5" w14:textId="77777777" w:rsidR="0017218C" w:rsidRPr="007F5922" w:rsidRDefault="0017218C" w:rsidP="0017218C">
            <w:pPr>
              <w:rPr>
                <w:b/>
                <w:sz w:val="24"/>
                <w:szCs w:val="24"/>
              </w:rPr>
            </w:pPr>
          </w:p>
        </w:tc>
        <w:tc>
          <w:tcPr>
            <w:tcW w:w="5144" w:type="dxa"/>
          </w:tcPr>
          <w:p w14:paraId="47592F85" w14:textId="77777777" w:rsidR="0017218C" w:rsidRPr="007F5922" w:rsidRDefault="0017218C" w:rsidP="008B11AC">
            <w:pPr>
              <w:jc w:val="both"/>
              <w:rPr>
                <w:rFonts w:ascii="Arial" w:hAnsi="Arial" w:cs="Arial"/>
              </w:rPr>
            </w:pPr>
          </w:p>
        </w:tc>
        <w:tc>
          <w:tcPr>
            <w:tcW w:w="4977" w:type="dxa"/>
          </w:tcPr>
          <w:p w14:paraId="4380CAE5" w14:textId="77777777" w:rsidR="0017218C" w:rsidRPr="007F5922" w:rsidRDefault="0017218C" w:rsidP="008B11AC">
            <w:pPr>
              <w:jc w:val="both"/>
              <w:rPr>
                <w:rFonts w:ascii="Arial" w:hAnsi="Arial" w:cs="Arial"/>
              </w:rPr>
            </w:pPr>
          </w:p>
        </w:tc>
      </w:tr>
      <w:tr w:rsidR="0017218C" w:rsidRPr="007F5922" w14:paraId="7E3EF2F3" w14:textId="77777777" w:rsidTr="0017218C">
        <w:trPr>
          <w:trHeight w:val="1164"/>
        </w:trPr>
        <w:tc>
          <w:tcPr>
            <w:tcW w:w="4542" w:type="dxa"/>
            <w:vAlign w:val="center"/>
          </w:tcPr>
          <w:p w14:paraId="6A83052D" w14:textId="77777777" w:rsidR="007F5922" w:rsidRPr="007F5922" w:rsidRDefault="007F5922">
            <w:pPr>
              <w:pStyle w:val="ListParagraph"/>
              <w:numPr>
                <w:ilvl w:val="0"/>
                <w:numId w:val="5"/>
              </w:numPr>
              <w:ind w:left="567" w:right="239" w:hanging="567"/>
              <w:jc w:val="both"/>
              <w:rPr>
                <w:rFonts w:ascii="Arial" w:hAnsi="Arial" w:cs="Arial"/>
                <w:sz w:val="24"/>
                <w:szCs w:val="24"/>
              </w:rPr>
            </w:pPr>
            <w:r w:rsidRPr="007F5922">
              <w:rPr>
                <w:rFonts w:ascii="Arial" w:hAnsi="Arial" w:cs="Arial"/>
                <w:sz w:val="24"/>
                <w:szCs w:val="24"/>
              </w:rPr>
              <w:lastRenderedPageBreak/>
              <w:t xml:space="preserve">Opt-In Participants shall remit the settlement proceeds to the Market Operator based on the summary of settlement allocation and subsequently, the Market Operator shall remit the same to </w:t>
            </w:r>
            <w:proofErr w:type="spellStart"/>
            <w:r w:rsidRPr="007F5922">
              <w:rPr>
                <w:rFonts w:ascii="Arial" w:hAnsi="Arial" w:cs="Arial"/>
                <w:sz w:val="24"/>
                <w:szCs w:val="24"/>
              </w:rPr>
              <w:t>TransCo</w:t>
            </w:r>
            <w:proofErr w:type="spellEnd"/>
            <w:r w:rsidRPr="007F5922">
              <w:rPr>
                <w:rFonts w:ascii="Arial" w:hAnsi="Arial" w:cs="Arial"/>
                <w:sz w:val="24"/>
                <w:szCs w:val="24"/>
              </w:rPr>
              <w:t>.</w:t>
            </w:r>
          </w:p>
          <w:p w14:paraId="3F6A7C4B" w14:textId="77777777" w:rsidR="007F5922" w:rsidRPr="007F5922" w:rsidRDefault="007F5922" w:rsidP="007F5922">
            <w:pPr>
              <w:tabs>
                <w:tab w:val="left" w:pos="1180"/>
              </w:tabs>
              <w:ind w:left="1440" w:hanging="540"/>
              <w:contextualSpacing/>
              <w:jc w:val="both"/>
              <w:rPr>
                <w:rFonts w:ascii="Arial" w:hAnsi="Arial" w:cs="Arial"/>
                <w:sz w:val="24"/>
                <w:szCs w:val="24"/>
              </w:rPr>
            </w:pPr>
          </w:p>
          <w:p w14:paraId="732F2721" w14:textId="77777777" w:rsidR="007F5922" w:rsidRPr="007F5922" w:rsidRDefault="007F5922">
            <w:pPr>
              <w:pStyle w:val="ListParagraph"/>
              <w:numPr>
                <w:ilvl w:val="0"/>
                <w:numId w:val="5"/>
              </w:numPr>
              <w:ind w:left="567" w:right="239" w:hanging="567"/>
              <w:jc w:val="both"/>
              <w:rPr>
                <w:rFonts w:ascii="Arial" w:hAnsi="Arial" w:cs="Arial"/>
                <w:sz w:val="24"/>
                <w:szCs w:val="24"/>
              </w:rPr>
            </w:pPr>
            <w:proofErr w:type="spellStart"/>
            <w:r w:rsidRPr="007F5922">
              <w:rPr>
                <w:rFonts w:ascii="Arial" w:hAnsi="Arial" w:cs="Arial"/>
                <w:sz w:val="24"/>
                <w:szCs w:val="24"/>
              </w:rPr>
              <w:t>TransCo</w:t>
            </w:r>
            <w:proofErr w:type="spellEnd"/>
            <w:r w:rsidRPr="007F5922">
              <w:rPr>
                <w:rFonts w:ascii="Arial" w:hAnsi="Arial" w:cs="Arial"/>
                <w:sz w:val="24"/>
                <w:szCs w:val="24"/>
              </w:rPr>
              <w:t xml:space="preserve"> shall settle the FIT Revenue claims of RE Developers under GEAP and, in turn, the RE Developer under GEAP shall issue Official Receipt to </w:t>
            </w:r>
            <w:proofErr w:type="spellStart"/>
            <w:r w:rsidRPr="007F5922">
              <w:rPr>
                <w:rFonts w:ascii="Arial" w:hAnsi="Arial" w:cs="Arial"/>
                <w:sz w:val="24"/>
                <w:szCs w:val="24"/>
              </w:rPr>
              <w:t>TransCo</w:t>
            </w:r>
            <w:proofErr w:type="spellEnd"/>
            <w:r w:rsidRPr="007F5922">
              <w:rPr>
                <w:rFonts w:ascii="Arial" w:hAnsi="Arial" w:cs="Arial"/>
                <w:sz w:val="24"/>
                <w:szCs w:val="24"/>
              </w:rPr>
              <w:t xml:space="preserve"> for any FIT Differential paid to them and the RPS Mandated/Opt-In Participant for the Actual Cost Recovery Revenue (ACRR).</w:t>
            </w:r>
          </w:p>
          <w:p w14:paraId="72FD0DAD" w14:textId="77777777" w:rsidR="007F5922" w:rsidRPr="007F5922" w:rsidRDefault="007F5922" w:rsidP="007F5922">
            <w:pPr>
              <w:ind w:left="1440" w:hanging="567"/>
              <w:contextualSpacing/>
              <w:jc w:val="both"/>
              <w:rPr>
                <w:rFonts w:ascii="Arial" w:hAnsi="Arial" w:cs="Arial"/>
                <w:sz w:val="24"/>
                <w:szCs w:val="24"/>
              </w:rPr>
            </w:pPr>
          </w:p>
          <w:p w14:paraId="7102AD3E" w14:textId="77777777" w:rsidR="007F5922" w:rsidRPr="007F5922" w:rsidRDefault="007F5922">
            <w:pPr>
              <w:pStyle w:val="ListParagraph"/>
              <w:numPr>
                <w:ilvl w:val="0"/>
                <w:numId w:val="5"/>
              </w:numPr>
              <w:ind w:left="567" w:right="239" w:hanging="567"/>
              <w:jc w:val="both"/>
              <w:rPr>
                <w:rFonts w:ascii="Arial" w:hAnsi="Arial" w:cs="Arial"/>
                <w:sz w:val="24"/>
                <w:szCs w:val="24"/>
              </w:rPr>
            </w:pPr>
            <w:r w:rsidRPr="007F5922">
              <w:rPr>
                <w:rFonts w:ascii="Arial" w:hAnsi="Arial" w:cs="Arial"/>
                <w:sz w:val="24"/>
                <w:szCs w:val="24"/>
              </w:rPr>
              <w:t>The corresponding payment of the Opt-In Participant shall accrue to the FIT-All Fund and, in principle, shall reduce the FIT-All rate charged to the end-users.</w:t>
            </w:r>
          </w:p>
          <w:p w14:paraId="0EBD060F" w14:textId="77777777" w:rsidR="007F5922" w:rsidRPr="007F5922" w:rsidRDefault="007F5922" w:rsidP="007F5922">
            <w:pPr>
              <w:ind w:left="1454" w:hanging="547"/>
              <w:contextualSpacing/>
              <w:jc w:val="both"/>
              <w:rPr>
                <w:rFonts w:ascii="Arial" w:hAnsi="Arial" w:cs="Arial"/>
                <w:sz w:val="24"/>
                <w:szCs w:val="24"/>
              </w:rPr>
            </w:pPr>
          </w:p>
          <w:p w14:paraId="049E1B89" w14:textId="77777777" w:rsidR="007F5922" w:rsidRPr="007F5922" w:rsidRDefault="007F5922">
            <w:pPr>
              <w:pStyle w:val="ListParagraph"/>
              <w:numPr>
                <w:ilvl w:val="0"/>
                <w:numId w:val="5"/>
              </w:numPr>
              <w:ind w:left="567" w:right="239" w:hanging="567"/>
              <w:jc w:val="both"/>
              <w:rPr>
                <w:rFonts w:ascii="Arial" w:hAnsi="Arial" w:cs="Arial"/>
                <w:sz w:val="24"/>
                <w:szCs w:val="24"/>
              </w:rPr>
            </w:pPr>
            <w:commentRangeStart w:id="8"/>
            <w:r w:rsidRPr="007F5922">
              <w:rPr>
                <w:rFonts w:ascii="Arial" w:hAnsi="Arial" w:cs="Arial"/>
                <w:sz w:val="24"/>
                <w:szCs w:val="24"/>
              </w:rPr>
              <w:t xml:space="preserve">Opt-in participants and Winning bidders </w:t>
            </w:r>
            <w:commentRangeEnd w:id="8"/>
            <w:r w:rsidRPr="007F5922">
              <w:rPr>
                <w:rStyle w:val="CommentReference"/>
              </w:rPr>
              <w:commentReference w:id="8"/>
            </w:r>
            <w:r w:rsidRPr="007F5922">
              <w:rPr>
                <w:rFonts w:ascii="Arial" w:hAnsi="Arial" w:cs="Arial"/>
                <w:sz w:val="24"/>
                <w:szCs w:val="24"/>
              </w:rPr>
              <w:t xml:space="preserve">should declare their BCQs to facilitate minimal disruption to existing processes and to ensure more accurate calculation of line rental charges once the market trading nodes are assigned to them, </w:t>
            </w:r>
            <w:proofErr w:type="gramStart"/>
            <w:r w:rsidRPr="007F5922">
              <w:rPr>
                <w:rFonts w:ascii="Arial" w:hAnsi="Arial" w:cs="Arial"/>
                <w:sz w:val="24"/>
                <w:szCs w:val="24"/>
              </w:rPr>
              <w:t>provided that</w:t>
            </w:r>
            <w:proofErr w:type="gramEnd"/>
            <w:r w:rsidRPr="007F5922">
              <w:rPr>
                <w:rFonts w:ascii="Arial" w:hAnsi="Arial" w:cs="Arial"/>
                <w:sz w:val="24"/>
                <w:szCs w:val="24"/>
              </w:rPr>
              <w:t xml:space="preserve"> line rentals shall be on the respective accounts of the Opt-in participants.</w:t>
            </w:r>
          </w:p>
          <w:p w14:paraId="4092FF15" w14:textId="77777777" w:rsidR="007F5922" w:rsidRPr="007F5922" w:rsidRDefault="007F5922" w:rsidP="007F5922">
            <w:pPr>
              <w:ind w:left="1454" w:hanging="547"/>
              <w:contextualSpacing/>
              <w:jc w:val="both"/>
              <w:rPr>
                <w:rFonts w:ascii="Arial" w:hAnsi="Arial" w:cs="Arial"/>
                <w:sz w:val="24"/>
                <w:szCs w:val="24"/>
              </w:rPr>
            </w:pPr>
          </w:p>
          <w:p w14:paraId="50106B8C" w14:textId="311CB7B3" w:rsidR="0017218C" w:rsidRPr="007F5922" w:rsidRDefault="007F5922" w:rsidP="007F5922">
            <w:pPr>
              <w:ind w:left="603" w:hanging="567"/>
              <w:jc w:val="both"/>
              <w:rPr>
                <w:b/>
                <w:sz w:val="24"/>
                <w:szCs w:val="24"/>
              </w:rPr>
            </w:pPr>
            <w:r w:rsidRPr="007F5922">
              <w:rPr>
                <w:rFonts w:ascii="Arial" w:hAnsi="Arial" w:cs="Arial"/>
                <w:sz w:val="24"/>
                <w:szCs w:val="24"/>
              </w:rPr>
              <w:t xml:space="preserve">(f)    </w:t>
            </w:r>
            <w:r w:rsidRPr="007F5922">
              <w:rPr>
                <w:rFonts w:ascii="Arial" w:hAnsi="Arial" w:cs="Arial"/>
                <w:sz w:val="24"/>
                <w:szCs w:val="24"/>
              </w:rPr>
              <w:t>The Market Operator shall develop a methodology for allocating the Opt-in energy such that bilateral contract declarations between Opt-In participants and Winning Bidders are proportionate to their respective shares in the Opt-in Capacity.</w:t>
            </w:r>
          </w:p>
        </w:tc>
        <w:tc>
          <w:tcPr>
            <w:tcW w:w="5144" w:type="dxa"/>
          </w:tcPr>
          <w:p w14:paraId="20FABC3E" w14:textId="77777777" w:rsidR="0017218C" w:rsidRPr="007F5922" w:rsidRDefault="0017218C" w:rsidP="008B11AC">
            <w:pPr>
              <w:jc w:val="both"/>
              <w:rPr>
                <w:rFonts w:ascii="Arial" w:hAnsi="Arial" w:cs="Arial"/>
              </w:rPr>
            </w:pPr>
          </w:p>
        </w:tc>
        <w:tc>
          <w:tcPr>
            <w:tcW w:w="4977" w:type="dxa"/>
          </w:tcPr>
          <w:p w14:paraId="4E145CF5" w14:textId="77777777" w:rsidR="0017218C" w:rsidRPr="007F5922" w:rsidRDefault="0017218C" w:rsidP="008B11AC">
            <w:pPr>
              <w:jc w:val="both"/>
              <w:rPr>
                <w:rFonts w:ascii="Arial" w:hAnsi="Arial" w:cs="Arial"/>
              </w:rPr>
            </w:pPr>
          </w:p>
        </w:tc>
      </w:tr>
      <w:tr w:rsidR="0017218C" w:rsidRPr="007F5922" w14:paraId="55C1DCA6" w14:textId="77777777" w:rsidTr="0017218C">
        <w:trPr>
          <w:trHeight w:val="1164"/>
        </w:trPr>
        <w:tc>
          <w:tcPr>
            <w:tcW w:w="4542" w:type="dxa"/>
            <w:vAlign w:val="center"/>
          </w:tcPr>
          <w:p w14:paraId="5C9671FC" w14:textId="77777777" w:rsidR="007F5922" w:rsidRPr="007F5922" w:rsidRDefault="007F5922" w:rsidP="007F5922">
            <w:pPr>
              <w:pBdr>
                <w:top w:val="nil"/>
                <w:left w:val="nil"/>
                <w:bottom w:val="nil"/>
                <w:right w:val="nil"/>
                <w:between w:val="nil"/>
              </w:pBdr>
              <w:contextualSpacing/>
              <w:jc w:val="both"/>
              <w:rPr>
                <w:rFonts w:ascii="Arial" w:hAnsi="Arial" w:cs="Arial"/>
                <w:sz w:val="24"/>
                <w:szCs w:val="24"/>
              </w:rPr>
            </w:pPr>
            <w:r w:rsidRPr="007F5922">
              <w:rPr>
                <w:rFonts w:ascii="Arial" w:hAnsi="Arial" w:cs="Arial"/>
                <w:b/>
                <w:sz w:val="24"/>
                <w:szCs w:val="24"/>
              </w:rPr>
              <w:t>Section 9.</w:t>
            </w:r>
            <w:r w:rsidRPr="007F5922">
              <w:rPr>
                <w:rFonts w:ascii="Arial" w:hAnsi="Arial" w:cs="Arial"/>
                <w:bCs/>
                <w:sz w:val="24"/>
                <w:szCs w:val="24"/>
              </w:rPr>
              <w:t xml:space="preserve"> </w:t>
            </w:r>
            <w:r w:rsidRPr="007F5922">
              <w:rPr>
                <w:rFonts w:ascii="Arial" w:hAnsi="Arial" w:cs="Arial"/>
                <w:b/>
                <w:sz w:val="24"/>
                <w:szCs w:val="24"/>
              </w:rPr>
              <w:t>Revisions to FIT Rules and FIT-All Guidelines.</w:t>
            </w:r>
            <w:r w:rsidRPr="007F5922">
              <w:rPr>
                <w:rFonts w:ascii="Arial" w:hAnsi="Arial" w:cs="Arial"/>
                <w:bCs/>
                <w:sz w:val="24"/>
                <w:szCs w:val="24"/>
              </w:rPr>
              <w:t xml:space="preserve">  Within six (6) months from the </w:t>
            </w:r>
            <w:r w:rsidRPr="007F5922">
              <w:rPr>
                <w:rFonts w:ascii="Arial" w:hAnsi="Arial" w:cs="Arial"/>
                <w:bCs/>
                <w:color w:val="000000" w:themeColor="text1"/>
                <w:sz w:val="24"/>
                <w:szCs w:val="24"/>
              </w:rPr>
              <w:t>effectivity</w:t>
            </w:r>
            <w:r w:rsidRPr="007F5922">
              <w:rPr>
                <w:rFonts w:ascii="Arial" w:hAnsi="Arial" w:cs="Arial"/>
                <w:color w:val="000000" w:themeColor="text1"/>
                <w:sz w:val="24"/>
                <w:szCs w:val="24"/>
              </w:rPr>
              <w:t xml:space="preserve"> </w:t>
            </w:r>
            <w:r w:rsidRPr="007F5922">
              <w:rPr>
                <w:rFonts w:ascii="Arial" w:hAnsi="Arial" w:cs="Arial"/>
                <w:sz w:val="24"/>
                <w:szCs w:val="24"/>
              </w:rPr>
              <w:t>of this Circular, the ERC shall issue necessary revisions in FIT Rules and FIT-All Guidelines consistent with this Circular to ensure the proper implementation of the Opt-In Mechanism.</w:t>
            </w:r>
          </w:p>
          <w:p w14:paraId="129FAE6F" w14:textId="77777777" w:rsidR="007F5922" w:rsidRPr="007F5922" w:rsidRDefault="007F5922" w:rsidP="007F5922">
            <w:pPr>
              <w:pBdr>
                <w:top w:val="nil"/>
                <w:left w:val="nil"/>
                <w:bottom w:val="nil"/>
                <w:right w:val="nil"/>
                <w:between w:val="nil"/>
              </w:pBdr>
              <w:contextualSpacing/>
              <w:jc w:val="both"/>
              <w:rPr>
                <w:rFonts w:ascii="Arial" w:hAnsi="Arial" w:cs="Arial"/>
                <w:sz w:val="24"/>
                <w:szCs w:val="24"/>
              </w:rPr>
            </w:pPr>
          </w:p>
          <w:p w14:paraId="12F3A2A8" w14:textId="77777777" w:rsidR="007F5922" w:rsidRPr="007F5922" w:rsidRDefault="007F5922">
            <w:pPr>
              <w:pStyle w:val="ListParagraph"/>
              <w:numPr>
                <w:ilvl w:val="0"/>
                <w:numId w:val="7"/>
              </w:numPr>
              <w:ind w:left="567" w:hanging="567"/>
              <w:jc w:val="both"/>
              <w:rPr>
                <w:rFonts w:ascii="Arial" w:hAnsi="Arial" w:cs="Arial"/>
                <w:sz w:val="24"/>
                <w:szCs w:val="24"/>
              </w:rPr>
            </w:pPr>
            <w:commentRangeStart w:id="9"/>
            <w:r w:rsidRPr="007F5922">
              <w:rPr>
                <w:rFonts w:ascii="Arial" w:hAnsi="Arial" w:cs="Arial"/>
                <w:sz w:val="24"/>
                <w:szCs w:val="24"/>
              </w:rPr>
              <w:t>Allow RPS Mandated Participants</w:t>
            </w:r>
            <w:commentRangeEnd w:id="9"/>
            <w:r w:rsidRPr="007F5922">
              <w:rPr>
                <w:rStyle w:val="CommentReference"/>
              </w:rPr>
              <w:commentReference w:id="9"/>
            </w:r>
            <w:r w:rsidRPr="007F5922">
              <w:rPr>
                <w:rFonts w:ascii="Arial" w:hAnsi="Arial" w:cs="Arial"/>
                <w:sz w:val="24"/>
                <w:szCs w:val="24"/>
              </w:rPr>
              <w:t xml:space="preserve">, as Opt-In Participants, to pay settlement proceeds directly to the Market </w:t>
            </w:r>
            <w:proofErr w:type="gramStart"/>
            <w:r w:rsidRPr="007F5922">
              <w:rPr>
                <w:rFonts w:ascii="Arial" w:hAnsi="Arial" w:cs="Arial"/>
                <w:sz w:val="24"/>
                <w:szCs w:val="24"/>
              </w:rPr>
              <w:t>Operator;</w:t>
            </w:r>
            <w:proofErr w:type="gramEnd"/>
          </w:p>
          <w:p w14:paraId="27B3C1B4" w14:textId="77777777" w:rsidR="007F5922" w:rsidRPr="007F5922" w:rsidRDefault="007F5922" w:rsidP="007F5922">
            <w:pPr>
              <w:ind w:left="567" w:hanging="567"/>
              <w:contextualSpacing/>
              <w:jc w:val="both"/>
              <w:rPr>
                <w:rFonts w:ascii="Arial" w:hAnsi="Arial" w:cs="Arial"/>
                <w:sz w:val="24"/>
                <w:szCs w:val="24"/>
              </w:rPr>
            </w:pPr>
          </w:p>
          <w:p w14:paraId="361AD27C" w14:textId="77777777" w:rsidR="007F5922" w:rsidRPr="007F5922" w:rsidRDefault="007F5922">
            <w:pPr>
              <w:pStyle w:val="ListParagraph"/>
              <w:numPr>
                <w:ilvl w:val="0"/>
                <w:numId w:val="7"/>
              </w:numPr>
              <w:ind w:left="567" w:hanging="567"/>
              <w:jc w:val="both"/>
              <w:rPr>
                <w:rFonts w:ascii="Arial" w:hAnsi="Arial" w:cs="Arial"/>
                <w:sz w:val="24"/>
                <w:szCs w:val="24"/>
              </w:rPr>
            </w:pPr>
            <w:r w:rsidRPr="007F5922">
              <w:rPr>
                <w:rFonts w:ascii="Arial" w:hAnsi="Arial" w:cs="Arial"/>
                <w:sz w:val="24"/>
                <w:szCs w:val="24"/>
              </w:rPr>
              <w:t xml:space="preserve">Formulate and approve an </w:t>
            </w:r>
            <w:r w:rsidRPr="007F5922">
              <w:rPr>
                <w:rFonts w:ascii="Arial" w:hAnsi="Arial" w:cs="Arial"/>
                <w:bCs/>
                <w:sz w:val="24"/>
                <w:szCs w:val="24"/>
              </w:rPr>
              <w:t>OPA</w:t>
            </w:r>
            <w:r w:rsidRPr="007F5922">
              <w:rPr>
                <w:rFonts w:ascii="Arial" w:hAnsi="Arial" w:cs="Arial"/>
                <w:color w:val="000000"/>
                <w:sz w:val="24"/>
                <w:szCs w:val="24"/>
              </w:rPr>
              <w:t xml:space="preserve"> </w:t>
            </w:r>
            <w:proofErr w:type="gramStart"/>
            <w:r w:rsidRPr="007F5922">
              <w:rPr>
                <w:rFonts w:ascii="Arial" w:hAnsi="Arial" w:cs="Arial"/>
                <w:sz w:val="24"/>
                <w:szCs w:val="24"/>
              </w:rPr>
              <w:t>template;</w:t>
            </w:r>
            <w:proofErr w:type="gramEnd"/>
            <w:r w:rsidRPr="007F5922">
              <w:rPr>
                <w:rFonts w:ascii="Arial" w:hAnsi="Arial" w:cs="Arial"/>
                <w:sz w:val="24"/>
                <w:szCs w:val="24"/>
              </w:rPr>
              <w:t xml:space="preserve"> </w:t>
            </w:r>
          </w:p>
          <w:p w14:paraId="3E09AC73" w14:textId="77777777" w:rsidR="007F5922" w:rsidRPr="007F5922" w:rsidRDefault="007F5922" w:rsidP="007F5922">
            <w:pPr>
              <w:ind w:left="567" w:hanging="567"/>
              <w:contextualSpacing/>
              <w:jc w:val="both"/>
              <w:rPr>
                <w:rFonts w:ascii="Arial" w:hAnsi="Arial" w:cs="Arial"/>
                <w:sz w:val="24"/>
                <w:szCs w:val="24"/>
              </w:rPr>
            </w:pPr>
          </w:p>
          <w:p w14:paraId="1429839C" w14:textId="77777777" w:rsidR="007F5922" w:rsidRPr="007F5922" w:rsidRDefault="007F5922">
            <w:pPr>
              <w:pStyle w:val="ListParagraph"/>
              <w:numPr>
                <w:ilvl w:val="0"/>
                <w:numId w:val="7"/>
              </w:numPr>
              <w:ind w:left="567" w:hanging="567"/>
              <w:jc w:val="both"/>
              <w:rPr>
                <w:rFonts w:ascii="Arial" w:hAnsi="Arial" w:cs="Arial"/>
                <w:sz w:val="24"/>
                <w:szCs w:val="24"/>
              </w:rPr>
            </w:pPr>
            <w:r w:rsidRPr="007F5922">
              <w:rPr>
                <w:rFonts w:ascii="Arial" w:hAnsi="Arial" w:cs="Arial"/>
                <w:sz w:val="24"/>
                <w:szCs w:val="24"/>
              </w:rPr>
              <w:t xml:space="preserve">Allow </w:t>
            </w:r>
            <w:proofErr w:type="spellStart"/>
            <w:r w:rsidRPr="007F5922">
              <w:rPr>
                <w:rFonts w:ascii="Arial" w:hAnsi="Arial" w:cs="Arial"/>
                <w:sz w:val="24"/>
                <w:szCs w:val="24"/>
              </w:rPr>
              <w:t>TransCo</w:t>
            </w:r>
            <w:proofErr w:type="spellEnd"/>
            <w:r w:rsidRPr="007F5922">
              <w:rPr>
                <w:rFonts w:ascii="Arial" w:hAnsi="Arial" w:cs="Arial"/>
                <w:sz w:val="24"/>
                <w:szCs w:val="24"/>
              </w:rPr>
              <w:t xml:space="preserve">, Market Operator, and Opt-In Participant to enter an </w:t>
            </w:r>
            <w:r w:rsidRPr="007F5922">
              <w:rPr>
                <w:rFonts w:ascii="Arial" w:hAnsi="Arial" w:cs="Arial"/>
                <w:bCs/>
                <w:sz w:val="24"/>
                <w:szCs w:val="24"/>
              </w:rPr>
              <w:t>OPA</w:t>
            </w:r>
            <w:r w:rsidRPr="007F5922">
              <w:rPr>
                <w:rFonts w:ascii="Arial" w:hAnsi="Arial" w:cs="Arial"/>
                <w:sz w:val="24"/>
                <w:szCs w:val="24"/>
              </w:rPr>
              <w:t>; and</w:t>
            </w:r>
          </w:p>
          <w:p w14:paraId="17AAA442" w14:textId="77777777" w:rsidR="007F5922" w:rsidRPr="007F5922" w:rsidRDefault="007F5922" w:rsidP="007F5922">
            <w:pPr>
              <w:ind w:left="567" w:hanging="567"/>
              <w:contextualSpacing/>
              <w:jc w:val="both"/>
              <w:rPr>
                <w:rFonts w:ascii="Arial" w:hAnsi="Arial" w:cs="Arial"/>
                <w:sz w:val="24"/>
                <w:szCs w:val="24"/>
              </w:rPr>
            </w:pPr>
          </w:p>
          <w:p w14:paraId="086C2E61" w14:textId="77777777" w:rsidR="007F5922" w:rsidRPr="007F5922" w:rsidRDefault="007F5922">
            <w:pPr>
              <w:pStyle w:val="ListParagraph"/>
              <w:numPr>
                <w:ilvl w:val="0"/>
                <w:numId w:val="7"/>
              </w:numPr>
              <w:ind w:left="567" w:hanging="567"/>
              <w:jc w:val="both"/>
              <w:rPr>
                <w:rFonts w:ascii="Arial" w:hAnsi="Arial" w:cs="Arial"/>
                <w:sz w:val="24"/>
                <w:szCs w:val="24"/>
              </w:rPr>
            </w:pPr>
            <w:r w:rsidRPr="007F5922">
              <w:rPr>
                <w:rFonts w:ascii="Arial" w:hAnsi="Arial" w:cs="Arial"/>
                <w:sz w:val="24"/>
                <w:szCs w:val="24"/>
              </w:rPr>
              <w:t xml:space="preserve">Allow for bilateral contract quantity declaration for the Opt-In Participant under one common node for dispatched energy of the Winning Bidders.  However, in case the declared quantity by the Opt-In Participant is more than its </w:t>
            </w:r>
            <w:r w:rsidRPr="007F5922">
              <w:rPr>
                <w:rFonts w:ascii="Arial" w:hAnsi="Arial" w:cs="Arial"/>
                <w:sz w:val="24"/>
                <w:szCs w:val="24"/>
              </w:rPr>
              <w:lastRenderedPageBreak/>
              <w:t xml:space="preserve">contracted energy under OPA, such excess energy shall be paid based on Market Clearing Price and shall be considered as outside GEAP.  On the other hand, if the declared quantity is below the contracted energy under OPA, the Opt-In Participant shall pay the full contracted energy at GET.   </w:t>
            </w:r>
          </w:p>
          <w:p w14:paraId="6C0D9B9C" w14:textId="1C3FF493" w:rsidR="00C7528D" w:rsidRPr="007F5922" w:rsidRDefault="00C7528D" w:rsidP="00C7528D">
            <w:pPr>
              <w:ind w:left="1454" w:hanging="567"/>
              <w:jc w:val="both"/>
              <w:rPr>
                <w:b/>
                <w:sz w:val="24"/>
                <w:szCs w:val="24"/>
              </w:rPr>
            </w:pPr>
          </w:p>
        </w:tc>
        <w:tc>
          <w:tcPr>
            <w:tcW w:w="5144" w:type="dxa"/>
          </w:tcPr>
          <w:p w14:paraId="6117AC6D" w14:textId="77777777" w:rsidR="0017218C" w:rsidRPr="007F5922" w:rsidRDefault="0017218C" w:rsidP="008B11AC">
            <w:pPr>
              <w:jc w:val="both"/>
              <w:rPr>
                <w:rFonts w:ascii="Arial" w:hAnsi="Arial" w:cs="Arial"/>
              </w:rPr>
            </w:pPr>
          </w:p>
        </w:tc>
        <w:tc>
          <w:tcPr>
            <w:tcW w:w="4977" w:type="dxa"/>
          </w:tcPr>
          <w:p w14:paraId="643EBC12" w14:textId="77777777" w:rsidR="0017218C" w:rsidRPr="007F5922" w:rsidRDefault="0017218C" w:rsidP="008B11AC">
            <w:pPr>
              <w:jc w:val="both"/>
              <w:rPr>
                <w:rFonts w:ascii="Arial" w:hAnsi="Arial" w:cs="Arial"/>
              </w:rPr>
            </w:pPr>
          </w:p>
        </w:tc>
      </w:tr>
      <w:tr w:rsidR="0017218C" w:rsidRPr="007F5922" w14:paraId="40EA2D7A" w14:textId="77777777" w:rsidTr="0017218C">
        <w:trPr>
          <w:trHeight w:val="1164"/>
        </w:trPr>
        <w:tc>
          <w:tcPr>
            <w:tcW w:w="4542" w:type="dxa"/>
            <w:vAlign w:val="center"/>
          </w:tcPr>
          <w:p w14:paraId="6C0F9C16" w14:textId="77777777" w:rsidR="007F5922" w:rsidRPr="007F5922" w:rsidRDefault="007F5922" w:rsidP="007F5922">
            <w:pPr>
              <w:contextualSpacing/>
              <w:jc w:val="both"/>
              <w:rPr>
                <w:rFonts w:ascii="Arial" w:hAnsi="Arial" w:cs="Arial"/>
                <w:sz w:val="24"/>
                <w:szCs w:val="24"/>
                <w:u w:val="single"/>
              </w:rPr>
            </w:pPr>
            <w:r w:rsidRPr="007F5922">
              <w:rPr>
                <w:rFonts w:ascii="Arial" w:hAnsi="Arial" w:cs="Arial"/>
                <w:b/>
                <w:bCs/>
                <w:sz w:val="24"/>
                <w:szCs w:val="24"/>
              </w:rPr>
              <w:t>Section 10. Start of Opt-in Period.</w:t>
            </w:r>
            <w:r w:rsidRPr="007F5922">
              <w:rPr>
                <w:rFonts w:ascii="Arial" w:hAnsi="Arial" w:cs="Arial"/>
                <w:sz w:val="24"/>
                <w:szCs w:val="24"/>
                <w:u w:val="single"/>
              </w:rPr>
              <w:t xml:space="preserve"> In consideration of the Market Operator’s necessary budget approvals, system enhancement, methodology formulation under Section 8(f) of this Circular, and approval of rules change for WESM, the DOE shall issue an Advisory on the commencement of the Opt-in period to give ample time to accomplish the necessary procedures by the Market Operator after the effectivity of this Circular.</w:t>
            </w:r>
          </w:p>
          <w:p w14:paraId="2A6D279B" w14:textId="55D7C7C0" w:rsidR="0017218C" w:rsidRPr="007F5922" w:rsidRDefault="00C7528D" w:rsidP="007F5922">
            <w:pPr>
              <w:jc w:val="both"/>
              <w:rPr>
                <w:sz w:val="24"/>
                <w:szCs w:val="24"/>
              </w:rPr>
            </w:pPr>
            <w:r w:rsidRPr="007F5922">
              <w:rPr>
                <w:sz w:val="24"/>
                <w:szCs w:val="24"/>
              </w:rPr>
              <w:t xml:space="preserve"> </w:t>
            </w:r>
          </w:p>
        </w:tc>
        <w:tc>
          <w:tcPr>
            <w:tcW w:w="5144" w:type="dxa"/>
          </w:tcPr>
          <w:p w14:paraId="38952287" w14:textId="77777777" w:rsidR="0017218C" w:rsidRPr="007F5922" w:rsidRDefault="0017218C" w:rsidP="008B11AC">
            <w:pPr>
              <w:jc w:val="both"/>
              <w:rPr>
                <w:rFonts w:ascii="Arial" w:hAnsi="Arial" w:cs="Arial"/>
              </w:rPr>
            </w:pPr>
          </w:p>
        </w:tc>
        <w:tc>
          <w:tcPr>
            <w:tcW w:w="4977" w:type="dxa"/>
          </w:tcPr>
          <w:p w14:paraId="4C5A57E1" w14:textId="77777777" w:rsidR="0017218C" w:rsidRPr="007F5922" w:rsidRDefault="0017218C" w:rsidP="008B11AC">
            <w:pPr>
              <w:jc w:val="both"/>
              <w:rPr>
                <w:rFonts w:ascii="Arial" w:hAnsi="Arial" w:cs="Arial"/>
              </w:rPr>
            </w:pPr>
          </w:p>
        </w:tc>
      </w:tr>
      <w:tr w:rsidR="00C7528D" w:rsidRPr="007F5922" w14:paraId="609D0642" w14:textId="77777777" w:rsidTr="0017218C">
        <w:trPr>
          <w:trHeight w:val="1164"/>
        </w:trPr>
        <w:tc>
          <w:tcPr>
            <w:tcW w:w="4542" w:type="dxa"/>
            <w:vAlign w:val="center"/>
          </w:tcPr>
          <w:p w14:paraId="5690F93D" w14:textId="77777777" w:rsidR="007F5922" w:rsidRPr="007F5922" w:rsidRDefault="007F5922" w:rsidP="007F5922">
            <w:pPr>
              <w:contextualSpacing/>
              <w:jc w:val="both"/>
              <w:rPr>
                <w:rFonts w:ascii="Arial" w:hAnsi="Arial" w:cs="Arial"/>
                <w:sz w:val="24"/>
                <w:szCs w:val="24"/>
              </w:rPr>
            </w:pPr>
            <w:r w:rsidRPr="007F5922">
              <w:rPr>
                <w:rFonts w:ascii="Arial" w:hAnsi="Arial" w:cs="Arial"/>
                <w:b/>
                <w:bCs/>
                <w:sz w:val="24"/>
                <w:szCs w:val="24"/>
              </w:rPr>
              <w:t>Section 11. Non-Diminution of Vested Rights</w:t>
            </w:r>
            <w:r w:rsidRPr="007F5922">
              <w:rPr>
                <w:rFonts w:ascii="Arial" w:hAnsi="Arial" w:cs="Arial"/>
                <w:sz w:val="24"/>
                <w:szCs w:val="24"/>
              </w:rPr>
              <w:t xml:space="preserve">. No provision of this Circular shall be construed as diminishing or impairing any right vested by virtue of existing laws, contracts, or agreements. </w:t>
            </w:r>
          </w:p>
          <w:p w14:paraId="7032CCA4" w14:textId="77777777" w:rsidR="00C7528D" w:rsidRPr="007F5922" w:rsidRDefault="00C7528D" w:rsidP="00C7528D">
            <w:pPr>
              <w:jc w:val="both"/>
              <w:rPr>
                <w:b/>
                <w:sz w:val="24"/>
                <w:szCs w:val="24"/>
              </w:rPr>
            </w:pPr>
          </w:p>
        </w:tc>
        <w:tc>
          <w:tcPr>
            <w:tcW w:w="5144" w:type="dxa"/>
          </w:tcPr>
          <w:p w14:paraId="67E1909C" w14:textId="77777777" w:rsidR="00C7528D" w:rsidRPr="007F5922" w:rsidRDefault="00C7528D" w:rsidP="008B11AC">
            <w:pPr>
              <w:jc w:val="both"/>
              <w:rPr>
                <w:rFonts w:ascii="Arial" w:hAnsi="Arial" w:cs="Arial"/>
              </w:rPr>
            </w:pPr>
          </w:p>
        </w:tc>
        <w:tc>
          <w:tcPr>
            <w:tcW w:w="4977" w:type="dxa"/>
          </w:tcPr>
          <w:p w14:paraId="53759334" w14:textId="77777777" w:rsidR="00C7528D" w:rsidRPr="007F5922" w:rsidRDefault="00C7528D" w:rsidP="008B11AC">
            <w:pPr>
              <w:jc w:val="both"/>
              <w:rPr>
                <w:rFonts w:ascii="Arial" w:hAnsi="Arial" w:cs="Arial"/>
              </w:rPr>
            </w:pPr>
          </w:p>
        </w:tc>
      </w:tr>
      <w:tr w:rsidR="00C7528D" w:rsidRPr="006818EF" w14:paraId="53507A60" w14:textId="77777777" w:rsidTr="0017218C">
        <w:trPr>
          <w:trHeight w:val="1164"/>
        </w:trPr>
        <w:tc>
          <w:tcPr>
            <w:tcW w:w="4542" w:type="dxa"/>
            <w:vAlign w:val="center"/>
          </w:tcPr>
          <w:p w14:paraId="6E5014F5" w14:textId="77777777" w:rsidR="007F5922" w:rsidRPr="007F5922" w:rsidRDefault="007F5922" w:rsidP="007F5922">
            <w:pPr>
              <w:contextualSpacing/>
              <w:jc w:val="both"/>
              <w:rPr>
                <w:rFonts w:ascii="Arial" w:hAnsi="Arial" w:cs="Arial"/>
                <w:sz w:val="24"/>
                <w:szCs w:val="24"/>
              </w:rPr>
            </w:pPr>
            <w:r w:rsidRPr="007F5922">
              <w:rPr>
                <w:rFonts w:ascii="Arial" w:hAnsi="Arial" w:cs="Arial"/>
                <w:b/>
                <w:bCs/>
                <w:sz w:val="24"/>
                <w:szCs w:val="24"/>
              </w:rPr>
              <w:t>Section 12. Separability Clause</w:t>
            </w:r>
            <w:r w:rsidRPr="007F5922">
              <w:rPr>
                <w:rFonts w:ascii="Arial" w:hAnsi="Arial" w:cs="Arial"/>
                <w:sz w:val="24"/>
                <w:szCs w:val="24"/>
              </w:rPr>
              <w:t>. If any provision of this Circular is declared invalid or unconstitutional, the other provisions not affected thereby shall remain valid and subsisting</w:t>
            </w:r>
          </w:p>
          <w:p w14:paraId="1140DEA9" w14:textId="77777777" w:rsidR="007F5922" w:rsidRPr="007F5922" w:rsidRDefault="007F5922" w:rsidP="007F5922">
            <w:pPr>
              <w:contextualSpacing/>
              <w:jc w:val="both"/>
              <w:rPr>
                <w:rFonts w:ascii="Arial" w:hAnsi="Arial" w:cs="Arial"/>
                <w:b/>
                <w:bCs/>
                <w:sz w:val="24"/>
                <w:szCs w:val="24"/>
              </w:rPr>
            </w:pPr>
          </w:p>
          <w:p w14:paraId="00AAC35A" w14:textId="77777777" w:rsidR="007F5922" w:rsidRPr="007F5922" w:rsidRDefault="007F5922" w:rsidP="007F5922">
            <w:pPr>
              <w:contextualSpacing/>
              <w:jc w:val="both"/>
              <w:rPr>
                <w:rFonts w:ascii="Arial" w:hAnsi="Arial" w:cs="Arial"/>
                <w:sz w:val="24"/>
                <w:szCs w:val="24"/>
              </w:rPr>
            </w:pPr>
            <w:r w:rsidRPr="007F5922">
              <w:rPr>
                <w:rFonts w:ascii="Arial" w:hAnsi="Arial" w:cs="Arial"/>
                <w:b/>
                <w:bCs/>
                <w:sz w:val="24"/>
                <w:szCs w:val="24"/>
              </w:rPr>
              <w:lastRenderedPageBreak/>
              <w:t>Section 13. Repealing Clause</w:t>
            </w:r>
            <w:r w:rsidRPr="007F5922">
              <w:rPr>
                <w:rFonts w:ascii="Arial" w:hAnsi="Arial" w:cs="Arial"/>
                <w:sz w:val="24"/>
                <w:szCs w:val="24"/>
              </w:rPr>
              <w:t xml:space="preserve">. All previous issuances, </w:t>
            </w:r>
            <w:proofErr w:type="gramStart"/>
            <w:r w:rsidRPr="007F5922">
              <w:rPr>
                <w:rFonts w:ascii="Arial" w:hAnsi="Arial" w:cs="Arial"/>
                <w:sz w:val="24"/>
                <w:szCs w:val="24"/>
              </w:rPr>
              <w:t>rules</w:t>
            </w:r>
            <w:proofErr w:type="gramEnd"/>
            <w:r w:rsidRPr="007F5922">
              <w:rPr>
                <w:rFonts w:ascii="Arial" w:hAnsi="Arial" w:cs="Arial"/>
                <w:sz w:val="24"/>
                <w:szCs w:val="24"/>
              </w:rPr>
              <w:t xml:space="preserve"> and regulations inconsistent with this Circular are hereby repealed, amended, or modified accordingly.</w:t>
            </w:r>
          </w:p>
          <w:p w14:paraId="321511E3" w14:textId="77777777" w:rsidR="007F5922" w:rsidRPr="007F5922" w:rsidRDefault="007F5922" w:rsidP="007F5922">
            <w:pPr>
              <w:contextualSpacing/>
              <w:jc w:val="both"/>
              <w:rPr>
                <w:rFonts w:ascii="Arial" w:hAnsi="Arial" w:cs="Arial"/>
                <w:sz w:val="24"/>
                <w:szCs w:val="24"/>
              </w:rPr>
            </w:pPr>
          </w:p>
          <w:p w14:paraId="6D5C0229" w14:textId="77777777" w:rsidR="007F5922" w:rsidRPr="007F5922" w:rsidRDefault="007F5922" w:rsidP="007F5922">
            <w:pPr>
              <w:contextualSpacing/>
              <w:jc w:val="both"/>
              <w:rPr>
                <w:rFonts w:ascii="Arial" w:hAnsi="Arial" w:cs="Arial"/>
                <w:sz w:val="24"/>
                <w:szCs w:val="24"/>
              </w:rPr>
            </w:pPr>
          </w:p>
          <w:p w14:paraId="7DCBDC49" w14:textId="77777777" w:rsidR="007F5922" w:rsidRPr="007F5922" w:rsidRDefault="007F5922" w:rsidP="007F5922">
            <w:pPr>
              <w:contextualSpacing/>
              <w:jc w:val="both"/>
              <w:rPr>
                <w:rFonts w:ascii="Arial" w:hAnsi="Arial" w:cs="Arial"/>
                <w:sz w:val="24"/>
                <w:szCs w:val="24"/>
              </w:rPr>
            </w:pPr>
            <w:commentRangeStart w:id="10"/>
            <w:commentRangeStart w:id="11"/>
            <w:r w:rsidRPr="007F5922">
              <w:rPr>
                <w:rFonts w:ascii="Arial" w:hAnsi="Arial" w:cs="Arial"/>
                <w:b/>
                <w:sz w:val="24"/>
                <w:szCs w:val="24"/>
              </w:rPr>
              <w:t xml:space="preserve">Section 14. Effectivity. </w:t>
            </w:r>
            <w:commentRangeEnd w:id="10"/>
            <w:r w:rsidRPr="007F5922">
              <w:rPr>
                <w:rStyle w:val="CommentReference"/>
              </w:rPr>
              <w:commentReference w:id="10"/>
            </w:r>
            <w:commentRangeEnd w:id="11"/>
            <w:r w:rsidRPr="007F5922">
              <w:rPr>
                <w:rStyle w:val="CommentReference"/>
              </w:rPr>
              <w:commentReference w:id="11"/>
            </w:r>
            <w:r w:rsidRPr="007F5922">
              <w:rPr>
                <w:rFonts w:ascii="Arial" w:hAnsi="Arial" w:cs="Arial"/>
                <w:sz w:val="24"/>
                <w:szCs w:val="24"/>
              </w:rPr>
              <w:t>This Circular shall take effect fifteen (15) days after its filing with the University of the Philippines Law Center — Office of the National Administrative Register and publication in at least two (2) newspapers of general circulation.</w:t>
            </w:r>
          </w:p>
          <w:p w14:paraId="13162137" w14:textId="601059C0" w:rsidR="00C7528D" w:rsidRPr="007F5922" w:rsidRDefault="00C7528D" w:rsidP="00C7528D">
            <w:pPr>
              <w:ind w:left="1454" w:hanging="567"/>
              <w:jc w:val="both"/>
              <w:rPr>
                <w:b/>
                <w:sz w:val="24"/>
                <w:szCs w:val="24"/>
              </w:rPr>
            </w:pPr>
          </w:p>
        </w:tc>
        <w:tc>
          <w:tcPr>
            <w:tcW w:w="5144" w:type="dxa"/>
          </w:tcPr>
          <w:p w14:paraId="5304E889" w14:textId="77777777" w:rsidR="00C7528D" w:rsidRPr="007F5922" w:rsidRDefault="00C7528D" w:rsidP="008B11AC">
            <w:pPr>
              <w:jc w:val="both"/>
              <w:rPr>
                <w:rFonts w:ascii="Arial" w:hAnsi="Arial" w:cs="Arial"/>
              </w:rPr>
            </w:pPr>
          </w:p>
        </w:tc>
        <w:tc>
          <w:tcPr>
            <w:tcW w:w="4977" w:type="dxa"/>
          </w:tcPr>
          <w:p w14:paraId="7E59BA64" w14:textId="77777777" w:rsidR="00C7528D" w:rsidRPr="006818EF" w:rsidRDefault="00C7528D" w:rsidP="008B11AC">
            <w:pPr>
              <w:jc w:val="both"/>
              <w:rPr>
                <w:rFonts w:ascii="Arial" w:hAnsi="Arial" w:cs="Arial"/>
              </w:rPr>
            </w:pPr>
          </w:p>
        </w:tc>
      </w:tr>
    </w:tbl>
    <w:p w14:paraId="2F8FCF9D" w14:textId="77777777" w:rsidR="007946DF" w:rsidRPr="00982A93" w:rsidRDefault="007946DF">
      <w:pPr>
        <w:rPr>
          <w:rFonts w:ascii="Arial" w:hAnsi="Arial" w:cs="Arial"/>
        </w:rPr>
      </w:pPr>
    </w:p>
    <w:sectPr w:rsidR="007946DF" w:rsidRPr="00982A93" w:rsidSect="000B2C94">
      <w:headerReference w:type="default" r:id="rId12"/>
      <w:footerReference w:type="default" r:id="rId13"/>
      <w:pgSz w:w="18720" w:h="12240" w:orient="landscape" w:code="258"/>
      <w:pgMar w:top="720" w:right="720" w:bottom="576" w:left="72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za G. Garcia" w:date="2022-06-04T13:18:00Z" w:initials="RGG">
    <w:p w14:paraId="734A066A" w14:textId="77777777" w:rsidR="007F5922" w:rsidRPr="005C75F4" w:rsidRDefault="007F5922" w:rsidP="007F5922">
      <w:pPr>
        <w:pStyle w:val="CommentText"/>
        <w:rPr>
          <w:b/>
          <w:bCs/>
          <w:color w:val="FF0000"/>
        </w:rPr>
      </w:pPr>
      <w:r>
        <w:rPr>
          <w:rStyle w:val="CommentReference"/>
        </w:rPr>
        <w:annotationRef/>
      </w:r>
      <w:r>
        <w:t xml:space="preserve">Meralco’s comments (adopted or </w:t>
      </w:r>
      <w:r w:rsidRPr="005C75F4">
        <w:rPr>
          <w:b/>
          <w:bCs/>
          <w:color w:val="FF0000"/>
        </w:rPr>
        <w:t>insert additional section in WHEREAS</w:t>
      </w:r>
      <w:r w:rsidRPr="005C75F4">
        <w:rPr>
          <w:color w:val="000000" w:themeColor="text1"/>
        </w:rPr>
        <w:t>)</w:t>
      </w:r>
    </w:p>
  </w:comment>
  <w:comment w:id="1" w:author="Riza G. Garcia" w:date="2022-06-04T13:23:00Z" w:initials="RGG">
    <w:p w14:paraId="0D0DC9CA" w14:textId="77777777" w:rsidR="007F5922" w:rsidRDefault="007F5922" w:rsidP="007F5922">
      <w:pPr>
        <w:pStyle w:val="CommentText"/>
      </w:pPr>
      <w:r>
        <w:rPr>
          <w:rStyle w:val="CommentReference"/>
        </w:rPr>
        <w:annotationRef/>
      </w:r>
      <w:r>
        <w:t>IEMOPs comment (</w:t>
      </w:r>
      <w:r w:rsidRPr="00FE092A">
        <w:rPr>
          <w:b/>
          <w:bCs/>
          <w:color w:val="FF0000"/>
        </w:rPr>
        <w:t>adopted during writeshop</w:t>
      </w:r>
      <w:r>
        <w:t>)</w:t>
      </w:r>
    </w:p>
  </w:comment>
  <w:comment w:id="2" w:author="Riza G. Garcia" w:date="2022-06-04T13:25:00Z" w:initials="RGG">
    <w:p w14:paraId="42A69734" w14:textId="77777777" w:rsidR="007F5922" w:rsidRDefault="007F5922" w:rsidP="007F5922">
      <w:pPr>
        <w:pStyle w:val="CommentText"/>
      </w:pPr>
      <w:r>
        <w:rPr>
          <w:rStyle w:val="CommentReference"/>
        </w:rPr>
        <w:annotationRef/>
      </w:r>
      <w:r>
        <w:t xml:space="preserve"> the definition of DCCs must be aligned with DOE’s issuances (DC2020-01-0001)</w:t>
      </w:r>
    </w:p>
  </w:comment>
  <w:comment w:id="3" w:author="Riza G. Garcia" w:date="2022-06-04T13:49:00Z" w:initials="RGG">
    <w:p w14:paraId="3A75B22E" w14:textId="77777777" w:rsidR="007F5922" w:rsidRDefault="007F5922" w:rsidP="007F5922">
      <w:pPr>
        <w:pStyle w:val="CommentText"/>
      </w:pPr>
      <w:r>
        <w:rPr>
          <w:rStyle w:val="CommentReference"/>
        </w:rPr>
        <w:annotationRef/>
      </w:r>
      <w:r>
        <w:t>Adopted additional provision from IEMOP</w:t>
      </w:r>
    </w:p>
  </w:comment>
  <w:comment w:id="4" w:author="Riza G. Garcia" w:date="2022-06-04T13:49:00Z" w:initials="RGG">
    <w:p w14:paraId="4968261F" w14:textId="77777777" w:rsidR="007F5922" w:rsidRDefault="007F5922" w:rsidP="007F5922">
      <w:pPr>
        <w:pStyle w:val="CommentText"/>
      </w:pPr>
      <w:r>
        <w:rPr>
          <w:rStyle w:val="CommentReference"/>
        </w:rPr>
        <w:annotationRef/>
      </w:r>
      <w:r>
        <w:t xml:space="preserve">IEMOP and Meralco’s proposed revision </w:t>
      </w:r>
      <w:r w:rsidRPr="00EF5238">
        <w:rPr>
          <w:b/>
          <w:bCs/>
          <w:color w:val="FF0000"/>
        </w:rPr>
        <w:t>(adopted during writeshop)</w:t>
      </w:r>
    </w:p>
  </w:comment>
  <w:comment w:id="5" w:author="Riza G. Garcia" w:date="2022-06-04T13:57:00Z" w:initials="RGG">
    <w:p w14:paraId="4A8AC58A" w14:textId="77777777" w:rsidR="007F5922" w:rsidRDefault="007F5922" w:rsidP="007F5922">
      <w:pPr>
        <w:pStyle w:val="CommentText"/>
        <w:rPr>
          <w:rFonts w:ascii="Arial" w:hAnsi="Arial" w:cs="Arial"/>
          <w:b/>
          <w:bCs/>
          <w:sz w:val="24"/>
          <w:szCs w:val="24"/>
          <w:shd w:val="clear" w:color="auto" w:fill="FFE599" w:themeFill="accent4" w:themeFillTint="66"/>
        </w:rPr>
      </w:pPr>
      <w:r>
        <w:rPr>
          <w:rStyle w:val="CommentReference"/>
        </w:rPr>
        <w:annotationRef/>
      </w:r>
    </w:p>
    <w:p w14:paraId="48C918E6" w14:textId="77777777" w:rsidR="007F5922" w:rsidRDefault="007F5922" w:rsidP="007F5922">
      <w:pPr>
        <w:pStyle w:val="CommentText"/>
        <w:rPr>
          <w:rFonts w:ascii="Arial" w:hAnsi="Arial" w:cs="Arial"/>
          <w:color w:val="333333"/>
          <w:sz w:val="24"/>
          <w:szCs w:val="24"/>
          <w:shd w:val="clear" w:color="auto" w:fill="FFFFFF"/>
        </w:rPr>
      </w:pPr>
      <w:r w:rsidRPr="00EA490A">
        <w:rPr>
          <w:rFonts w:ascii="Arial" w:hAnsi="Arial" w:cs="Arial"/>
          <w:b/>
          <w:bCs/>
          <w:sz w:val="24"/>
          <w:szCs w:val="24"/>
          <w:shd w:val="clear" w:color="auto" w:fill="FFE599" w:themeFill="accent4" w:themeFillTint="66"/>
        </w:rPr>
        <w:t>IEMOP:</w:t>
      </w:r>
      <w:r w:rsidRPr="00770D4C">
        <w:rPr>
          <w:rFonts w:ascii="Arial" w:hAnsi="Arial" w:cs="Arial"/>
          <w:sz w:val="24"/>
          <w:szCs w:val="24"/>
        </w:rPr>
        <w:t xml:space="preserve"> </w:t>
      </w:r>
      <w:r w:rsidRPr="00770D4C">
        <w:rPr>
          <w:rFonts w:ascii="Arial" w:hAnsi="Arial" w:cs="Arial"/>
          <w:color w:val="333333"/>
          <w:sz w:val="24"/>
          <w:szCs w:val="24"/>
          <w:shd w:val="clear" w:color="auto" w:fill="FFFFFF"/>
        </w:rPr>
        <w:t>This may be transferred to Section 8 as a feature of OPA. The</w:t>
      </w:r>
      <w:r>
        <w:rPr>
          <w:rFonts w:ascii="Arial" w:hAnsi="Arial" w:cs="Arial"/>
          <w:color w:val="333333"/>
          <w:sz w:val="24"/>
          <w:szCs w:val="24"/>
          <w:shd w:val="clear" w:color="auto" w:fill="FFFFFF"/>
        </w:rPr>
        <w:t xml:space="preserve"> </w:t>
      </w:r>
      <w:r w:rsidRPr="00770D4C">
        <w:rPr>
          <w:rFonts w:ascii="Arial" w:hAnsi="Arial" w:cs="Arial"/>
          <w:color w:val="333333"/>
          <w:sz w:val="24"/>
          <w:szCs w:val="24"/>
          <w:shd w:val="clear" w:color="auto" w:fill="FFFFFF"/>
        </w:rPr>
        <w:t>Opt-in participants shall have the obligation to pay for the opt-in proceeds to the MO.</w:t>
      </w:r>
      <w:r>
        <w:rPr>
          <w:rStyle w:val="CommentReference"/>
        </w:rPr>
        <w:annotationRef/>
      </w:r>
    </w:p>
    <w:p w14:paraId="65CCFA42" w14:textId="77777777" w:rsidR="007F5922" w:rsidRDefault="007F5922" w:rsidP="007F5922">
      <w:pPr>
        <w:pStyle w:val="CommentText"/>
        <w:rPr>
          <w:rFonts w:ascii="Arial" w:hAnsi="Arial" w:cs="Arial"/>
          <w:color w:val="333333"/>
          <w:sz w:val="24"/>
          <w:szCs w:val="24"/>
          <w:shd w:val="clear" w:color="auto" w:fill="FFFFFF"/>
        </w:rPr>
      </w:pPr>
    </w:p>
    <w:p w14:paraId="03A9937E" w14:textId="77777777" w:rsidR="007F5922" w:rsidRPr="00A15270" w:rsidRDefault="007F5922" w:rsidP="007F5922">
      <w:pPr>
        <w:pStyle w:val="CommentText"/>
        <w:rPr>
          <w:rFonts w:ascii="Arial" w:hAnsi="Arial" w:cs="Arial"/>
          <w:color w:val="333333"/>
          <w:sz w:val="24"/>
          <w:szCs w:val="24"/>
          <w:shd w:val="clear" w:color="auto" w:fill="FFFFFF"/>
        </w:rPr>
      </w:pPr>
      <w:r>
        <w:rPr>
          <w:rFonts w:ascii="Arial" w:hAnsi="Arial" w:cs="Arial"/>
          <w:color w:val="333333"/>
          <w:sz w:val="24"/>
          <w:szCs w:val="24"/>
          <w:shd w:val="clear" w:color="auto" w:fill="FFFFFF"/>
        </w:rPr>
        <w:t>(</w:t>
      </w:r>
      <w:r>
        <w:t xml:space="preserve">Include </w:t>
      </w:r>
      <w:r>
        <w:rPr>
          <w:rStyle w:val="CommentReference"/>
        </w:rPr>
        <w:annotationRef/>
      </w:r>
      <w:r>
        <w:rPr>
          <w:rStyle w:val="CommentReference"/>
        </w:rPr>
        <w:t>a</w:t>
      </w:r>
      <w:r>
        <w:t>dditional provision/section in the DC)</w:t>
      </w:r>
    </w:p>
  </w:comment>
  <w:comment w:id="6" w:author="Asec. Mylene C. Capongcol" w:date="2023-01-05T13:02:00Z" w:initials="AMCC">
    <w:p w14:paraId="1B8BF043" w14:textId="77777777" w:rsidR="007F5922" w:rsidRDefault="007F5922" w:rsidP="007F5922">
      <w:pPr>
        <w:pStyle w:val="CommentText"/>
      </w:pPr>
      <w:r>
        <w:rPr>
          <w:rStyle w:val="CommentReference"/>
        </w:rPr>
        <w:annotationRef/>
      </w:r>
      <w:r>
        <w:t>Where does the reductions in the FIT-All Charges will come from when the GEAP and Opt-In Capacity have been determined already?</w:t>
      </w:r>
    </w:p>
  </w:comment>
  <w:comment w:id="7" w:author="Riza G. Garcia" w:date="2022-06-04T14:08:00Z" w:initials="RGG">
    <w:p w14:paraId="3EECD3E9" w14:textId="77777777" w:rsidR="007F5922" w:rsidRPr="004E19A0" w:rsidRDefault="007F5922" w:rsidP="007F5922">
      <w:pPr>
        <w:pStyle w:val="NormalWeb"/>
        <w:shd w:val="clear" w:color="auto" w:fill="FFFFFF"/>
        <w:spacing w:before="0" w:beforeAutospacing="0" w:after="0" w:afterAutospacing="0"/>
        <w:jc w:val="both"/>
        <w:rPr>
          <w:rFonts w:ascii="Arial" w:hAnsi="Arial" w:cs="Arial"/>
          <w:color w:val="333333"/>
        </w:rPr>
      </w:pPr>
      <w:r>
        <w:rPr>
          <w:rStyle w:val="CommentReference"/>
        </w:rPr>
        <w:annotationRef/>
      </w:r>
      <w:r w:rsidRPr="004E19A0">
        <w:rPr>
          <w:rFonts w:ascii="Arial" w:hAnsi="Arial" w:cs="Arial"/>
        </w:rPr>
        <w:t xml:space="preserve">Adopted from IEMOP (IEMOP: </w:t>
      </w:r>
      <w:r w:rsidRPr="004E19A0">
        <w:rPr>
          <w:rFonts w:ascii="Arial" w:hAnsi="Arial" w:cs="Arial"/>
          <w:color w:val="333333"/>
        </w:rPr>
        <w:t>This is to clarify who will calculate the weighted average GET.</w:t>
      </w:r>
    </w:p>
    <w:p w14:paraId="1E8A6411" w14:textId="77777777" w:rsidR="007F5922" w:rsidRPr="004E19A0" w:rsidRDefault="007F5922" w:rsidP="007F5922">
      <w:pPr>
        <w:pStyle w:val="NormalWeb"/>
        <w:shd w:val="clear" w:color="auto" w:fill="FFFFFF"/>
        <w:spacing w:before="0" w:beforeAutospacing="0" w:after="0" w:afterAutospacing="0"/>
        <w:jc w:val="both"/>
        <w:rPr>
          <w:rFonts w:ascii="Arial" w:hAnsi="Arial" w:cs="Arial"/>
          <w:color w:val="333333"/>
        </w:rPr>
      </w:pPr>
    </w:p>
    <w:p w14:paraId="3E2DB286" w14:textId="77777777" w:rsidR="007F5922" w:rsidRPr="004E19A0" w:rsidRDefault="007F5922" w:rsidP="007F5922">
      <w:pPr>
        <w:pStyle w:val="CommentText"/>
        <w:rPr>
          <w:b/>
          <w:bCs/>
        </w:rPr>
      </w:pPr>
      <w:r w:rsidRPr="004E19A0">
        <w:rPr>
          <w:rFonts w:ascii="Arial" w:hAnsi="Arial" w:cs="Arial"/>
          <w:b/>
          <w:bCs/>
          <w:color w:val="FF0000"/>
          <w:sz w:val="24"/>
          <w:szCs w:val="24"/>
        </w:rPr>
        <w:t>Since this is part of the OPA, suggest to move it to section 8 and include this as a feature of OPA.</w:t>
      </w:r>
    </w:p>
  </w:comment>
  <w:comment w:id="8" w:author="Riza G. Garcia" w:date="2022-06-04T14:24:00Z" w:initials="RGG">
    <w:p w14:paraId="48DD79A1" w14:textId="77777777" w:rsidR="007F5922" w:rsidRDefault="007F5922" w:rsidP="007F5922">
      <w:pPr>
        <w:pStyle w:val="CommentText"/>
      </w:pPr>
      <w:r>
        <w:rPr>
          <w:rStyle w:val="CommentReference"/>
        </w:rPr>
        <w:annotationRef/>
      </w:r>
      <w:r>
        <w:t>Adopted during writeshop (from IEMOP)</w:t>
      </w:r>
    </w:p>
  </w:comment>
  <w:comment w:id="9" w:author="Riza G. Garcia" w:date="2022-06-04T14:30:00Z" w:initials="RGG">
    <w:p w14:paraId="393BEDC5" w14:textId="77777777" w:rsidR="007F5922" w:rsidRDefault="007F5922" w:rsidP="007F5922">
      <w:pPr>
        <w:pStyle w:val="CommentText"/>
      </w:pPr>
      <w:r>
        <w:rPr>
          <w:rStyle w:val="CommentReference"/>
        </w:rPr>
        <w:annotationRef/>
      </w:r>
      <w:r>
        <w:t>Adopted from IEMOP’s proposal</w:t>
      </w:r>
    </w:p>
  </w:comment>
  <w:comment w:id="10" w:author="Riza G. Garcia" w:date="2022-06-04T14:34:00Z" w:initials="RGG">
    <w:p w14:paraId="10CEC8A5" w14:textId="77777777" w:rsidR="007F5922" w:rsidRPr="00770D4C" w:rsidRDefault="007F5922" w:rsidP="007F5922">
      <w:pPr>
        <w:rPr>
          <w:rFonts w:ascii="Arial" w:hAnsi="Arial" w:cs="Arial"/>
          <w:sz w:val="24"/>
          <w:szCs w:val="24"/>
        </w:rPr>
      </w:pPr>
      <w:r>
        <w:rPr>
          <w:rStyle w:val="CommentReference"/>
        </w:rPr>
        <w:annotationRef/>
      </w:r>
    </w:p>
    <w:p w14:paraId="67F4199C" w14:textId="77777777" w:rsidR="007F5922" w:rsidRPr="00770D4C" w:rsidRDefault="007F5922" w:rsidP="007F5922">
      <w:pPr>
        <w:pStyle w:val="NormalWeb"/>
        <w:shd w:val="clear" w:color="auto" w:fill="FFFFFF"/>
        <w:spacing w:before="0" w:beforeAutospacing="0" w:after="0" w:afterAutospacing="0"/>
        <w:ind w:left="1440"/>
        <w:rPr>
          <w:rFonts w:ascii="Arial" w:hAnsi="Arial" w:cs="Arial"/>
          <w:color w:val="333333"/>
        </w:rPr>
      </w:pPr>
      <w:r w:rsidRPr="00EA490A">
        <w:rPr>
          <w:rFonts w:ascii="Arial" w:hAnsi="Arial" w:cs="Arial"/>
          <w:b/>
          <w:bCs/>
          <w:shd w:val="clear" w:color="auto" w:fill="FFE599" w:themeFill="accent4" w:themeFillTint="66"/>
        </w:rPr>
        <w:t>IEMOP:</w:t>
      </w:r>
      <w:r w:rsidRPr="00770D4C">
        <w:rPr>
          <w:rFonts w:ascii="Arial" w:hAnsi="Arial" w:cs="Arial"/>
        </w:rPr>
        <w:t xml:space="preserve"> </w:t>
      </w:r>
      <w:r w:rsidRPr="00770D4C">
        <w:rPr>
          <w:rFonts w:ascii="Arial" w:hAnsi="Arial" w:cs="Arial"/>
          <w:color w:val="333333"/>
        </w:rPr>
        <w:t>Suggest to consider the following:</w:t>
      </w:r>
    </w:p>
    <w:p w14:paraId="1A87744E" w14:textId="77777777" w:rsidR="007F5922" w:rsidRPr="00770D4C" w:rsidRDefault="007F5922" w:rsidP="007F5922">
      <w:pPr>
        <w:pStyle w:val="NormalWeb"/>
        <w:shd w:val="clear" w:color="auto" w:fill="FFFFFF"/>
        <w:spacing w:before="0" w:beforeAutospacing="0" w:after="0" w:afterAutospacing="0"/>
        <w:ind w:left="1440"/>
        <w:rPr>
          <w:rFonts w:ascii="Arial" w:hAnsi="Arial" w:cs="Arial"/>
          <w:color w:val="333333"/>
        </w:rPr>
      </w:pPr>
    </w:p>
    <w:p w14:paraId="598586C3" w14:textId="77777777" w:rsidR="007F5922" w:rsidRPr="00770D4C" w:rsidRDefault="007F5922" w:rsidP="007F5922">
      <w:pPr>
        <w:pStyle w:val="NormalWeb"/>
        <w:shd w:val="clear" w:color="auto" w:fill="FFFFFF"/>
        <w:spacing w:before="0" w:beforeAutospacing="0" w:after="0" w:afterAutospacing="0"/>
        <w:ind w:left="1440"/>
        <w:rPr>
          <w:rFonts w:ascii="Arial" w:hAnsi="Arial" w:cs="Arial"/>
          <w:color w:val="333333"/>
        </w:rPr>
      </w:pPr>
      <w:r w:rsidRPr="00770D4C">
        <w:rPr>
          <w:rFonts w:ascii="Arial" w:hAnsi="Arial" w:cs="Arial"/>
          <w:color w:val="333333"/>
        </w:rPr>
        <w:t>1. Budget approvals</w:t>
      </w:r>
    </w:p>
    <w:p w14:paraId="728FCA0B" w14:textId="77777777" w:rsidR="007F5922" w:rsidRPr="00770D4C" w:rsidRDefault="007F5922" w:rsidP="007F5922">
      <w:pPr>
        <w:pStyle w:val="NormalWeb"/>
        <w:shd w:val="clear" w:color="auto" w:fill="FFFFFF"/>
        <w:spacing w:before="0" w:beforeAutospacing="0" w:after="0" w:afterAutospacing="0"/>
        <w:ind w:left="1440"/>
        <w:rPr>
          <w:rFonts w:ascii="Arial" w:hAnsi="Arial" w:cs="Arial"/>
          <w:color w:val="333333"/>
        </w:rPr>
      </w:pPr>
      <w:r w:rsidRPr="00770D4C">
        <w:rPr>
          <w:rFonts w:ascii="Arial" w:hAnsi="Arial" w:cs="Arial"/>
          <w:color w:val="333333"/>
        </w:rPr>
        <w:t>2. System enhancement</w:t>
      </w:r>
    </w:p>
    <w:p w14:paraId="1146F4B8" w14:textId="77777777" w:rsidR="007F5922" w:rsidRPr="00770D4C" w:rsidRDefault="007F5922" w:rsidP="007F5922">
      <w:pPr>
        <w:pStyle w:val="NormalWeb"/>
        <w:shd w:val="clear" w:color="auto" w:fill="FFFFFF"/>
        <w:spacing w:before="0" w:beforeAutospacing="0" w:after="0" w:afterAutospacing="0"/>
        <w:ind w:left="1440"/>
        <w:rPr>
          <w:rFonts w:ascii="Arial" w:hAnsi="Arial" w:cs="Arial"/>
          <w:color w:val="333333"/>
        </w:rPr>
      </w:pPr>
      <w:r w:rsidRPr="00770D4C">
        <w:rPr>
          <w:rFonts w:ascii="Arial" w:hAnsi="Arial" w:cs="Arial"/>
          <w:color w:val="333333"/>
        </w:rPr>
        <w:t>3. Formulation of methodology under 8.6.</w:t>
      </w:r>
    </w:p>
    <w:p w14:paraId="6A26FFE6" w14:textId="77777777" w:rsidR="007F5922" w:rsidRDefault="007F5922" w:rsidP="007F5922">
      <w:pPr>
        <w:pStyle w:val="CommentText"/>
        <w:ind w:left="1440"/>
        <w:rPr>
          <w:rFonts w:ascii="Arial" w:hAnsi="Arial" w:cs="Arial"/>
          <w:color w:val="333333"/>
          <w:sz w:val="24"/>
          <w:szCs w:val="24"/>
        </w:rPr>
      </w:pPr>
      <w:r w:rsidRPr="00770D4C">
        <w:rPr>
          <w:rFonts w:ascii="Arial" w:hAnsi="Arial" w:cs="Arial"/>
          <w:color w:val="333333"/>
          <w:sz w:val="24"/>
          <w:szCs w:val="24"/>
        </w:rPr>
        <w:t>4. Approval of rules changes for WESM</w:t>
      </w:r>
      <w:r>
        <w:rPr>
          <w:rStyle w:val="CommentReference"/>
        </w:rPr>
        <w:annotationRef/>
      </w:r>
    </w:p>
    <w:p w14:paraId="7533F836" w14:textId="77777777" w:rsidR="007F5922" w:rsidRDefault="007F5922" w:rsidP="007F5922">
      <w:pPr>
        <w:pStyle w:val="CommentText"/>
        <w:ind w:left="1440"/>
        <w:rPr>
          <w:rFonts w:ascii="Arial" w:hAnsi="Arial" w:cs="Arial"/>
          <w:color w:val="333333"/>
          <w:sz w:val="24"/>
          <w:szCs w:val="24"/>
        </w:rPr>
      </w:pPr>
    </w:p>
    <w:p w14:paraId="65C631C4" w14:textId="77777777" w:rsidR="007F5922" w:rsidRDefault="007F5922" w:rsidP="007F5922">
      <w:pPr>
        <w:pStyle w:val="CommentText"/>
        <w:ind w:left="1440"/>
      </w:pPr>
      <w:r w:rsidRPr="00D4282D">
        <w:rPr>
          <w:rFonts w:ascii="Arial" w:hAnsi="Arial" w:cs="Arial"/>
          <w:b/>
          <w:bCs/>
          <w:color w:val="333333"/>
          <w:sz w:val="24"/>
          <w:szCs w:val="24"/>
        </w:rPr>
        <w:t>ARED:</w:t>
      </w:r>
      <w:r>
        <w:rPr>
          <w:rFonts w:ascii="Arial" w:hAnsi="Arial" w:cs="Arial"/>
          <w:color w:val="333333"/>
          <w:sz w:val="24"/>
          <w:szCs w:val="24"/>
        </w:rPr>
        <w:t xml:space="preserve"> </w:t>
      </w:r>
      <w:r>
        <w:rPr>
          <w:rFonts w:ascii="Arial" w:hAnsi="Arial" w:cs="Arial"/>
          <w:sz w:val="24"/>
          <w:szCs w:val="24"/>
        </w:rPr>
        <w:t xml:space="preserve">Insert in the provision that “The DOE shall </w:t>
      </w:r>
      <w:r>
        <w:rPr>
          <w:rStyle w:val="CommentReference"/>
        </w:rPr>
        <w:annotationRef/>
      </w:r>
      <w:r>
        <w:rPr>
          <w:rStyle w:val="CommentReference"/>
        </w:rPr>
        <w:t>i</w:t>
      </w:r>
      <w:r>
        <w:rPr>
          <w:rFonts w:ascii="Arial" w:hAnsi="Arial" w:cs="Arial"/>
          <w:sz w:val="24"/>
          <w:szCs w:val="24"/>
        </w:rPr>
        <w:t>ssue an advisory on the start of opt-in period.”</w:t>
      </w:r>
    </w:p>
  </w:comment>
  <w:comment w:id="11" w:author="Edward V. Neri" w:date="2022-06-04T16:27:00Z" w:initials="EVN">
    <w:p w14:paraId="7F7019AB" w14:textId="77777777" w:rsidR="007F5922" w:rsidRDefault="007F5922" w:rsidP="007F5922">
      <w:pPr>
        <w:pStyle w:val="CommentText"/>
      </w:pPr>
      <w:r>
        <w:rPr>
          <w:rStyle w:val="CommentReference"/>
        </w:rPr>
        <w:annotationRef/>
      </w:r>
      <w:r>
        <w:t>See proposed Section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A066A" w15:done="0"/>
  <w15:commentEx w15:paraId="0D0DC9CA" w15:done="0"/>
  <w15:commentEx w15:paraId="42A69734" w15:done="0"/>
  <w15:commentEx w15:paraId="3A75B22E" w15:done="0"/>
  <w15:commentEx w15:paraId="4968261F" w15:done="0"/>
  <w15:commentEx w15:paraId="03A9937E" w15:done="0"/>
  <w15:commentEx w15:paraId="1B8BF043" w15:done="0"/>
  <w15:commentEx w15:paraId="3E2DB286" w15:done="0"/>
  <w15:commentEx w15:paraId="48DD79A1" w15:done="0"/>
  <w15:commentEx w15:paraId="393BEDC5" w15:done="0"/>
  <w15:commentEx w15:paraId="65C631C4" w15:done="0"/>
  <w15:commentEx w15:paraId="7F7019AB" w15:paraIdParent="65C631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5DA26" w16cex:dateUtc="2022-06-04T05:18:00Z"/>
  <w16cex:commentExtensible w16cex:durableId="2645DB52" w16cex:dateUtc="2022-06-04T05:23:00Z"/>
  <w16cex:commentExtensible w16cex:durableId="2645DBE3" w16cex:dateUtc="2022-06-04T05:25:00Z"/>
  <w16cex:commentExtensible w16cex:durableId="2645E171" w16cex:dateUtc="2022-06-04T05:49:00Z"/>
  <w16cex:commentExtensible w16cex:durableId="2645E185" w16cex:dateUtc="2022-06-04T05:49:00Z"/>
  <w16cex:commentExtensible w16cex:durableId="2645E359" w16cex:dateUtc="2022-06-04T05:57:00Z"/>
  <w16cex:commentExtensible w16cex:durableId="276148F1" w16cex:dateUtc="2023-01-05T05:02:00Z"/>
  <w16cex:commentExtensible w16cex:durableId="2645E5C2" w16cex:dateUtc="2022-06-04T06:08:00Z"/>
  <w16cex:commentExtensible w16cex:durableId="2645E995" w16cex:dateUtc="2022-06-04T06:24:00Z"/>
  <w16cex:commentExtensible w16cex:durableId="2645EAF2" w16cex:dateUtc="2022-06-04T06:30:00Z"/>
  <w16cex:commentExtensible w16cex:durableId="2645EBFB" w16cex:dateUtc="2022-06-04T06:34:00Z"/>
  <w16cex:commentExtensible w16cex:durableId="26460662" w16cex:dateUtc="2022-06-04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A066A" w16cid:durableId="2645DA26"/>
  <w16cid:commentId w16cid:paraId="0D0DC9CA" w16cid:durableId="2645DB52"/>
  <w16cid:commentId w16cid:paraId="42A69734" w16cid:durableId="2645DBE3"/>
  <w16cid:commentId w16cid:paraId="3A75B22E" w16cid:durableId="2645E171"/>
  <w16cid:commentId w16cid:paraId="4968261F" w16cid:durableId="2645E185"/>
  <w16cid:commentId w16cid:paraId="03A9937E" w16cid:durableId="2645E359"/>
  <w16cid:commentId w16cid:paraId="1B8BF043" w16cid:durableId="276148F1"/>
  <w16cid:commentId w16cid:paraId="3E2DB286" w16cid:durableId="2645E5C2"/>
  <w16cid:commentId w16cid:paraId="48DD79A1" w16cid:durableId="2645E995"/>
  <w16cid:commentId w16cid:paraId="393BEDC5" w16cid:durableId="2645EAF2"/>
  <w16cid:commentId w16cid:paraId="65C631C4" w16cid:durableId="2645EBFB"/>
  <w16cid:commentId w16cid:paraId="7F7019AB" w16cid:durableId="26460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7D45" w14:textId="77777777" w:rsidR="00BC16FB" w:rsidRDefault="00BC16FB">
      <w:pPr>
        <w:spacing w:after="0" w:line="240" w:lineRule="auto"/>
      </w:pPr>
      <w:r>
        <w:separator/>
      </w:r>
    </w:p>
  </w:endnote>
  <w:endnote w:type="continuationSeparator" w:id="0">
    <w:p w14:paraId="574C24B0" w14:textId="77777777" w:rsidR="00BC16FB" w:rsidRDefault="00BC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75809"/>
      <w:docPartObj>
        <w:docPartGallery w:val="Page Numbers (Bottom of Page)"/>
        <w:docPartUnique/>
      </w:docPartObj>
    </w:sdtPr>
    <w:sdtContent>
      <w:sdt>
        <w:sdtPr>
          <w:id w:val="1728636285"/>
          <w:docPartObj>
            <w:docPartGallery w:val="Page Numbers (Top of Page)"/>
            <w:docPartUnique/>
          </w:docPartObj>
        </w:sdtPr>
        <w:sdtContent>
          <w:p w14:paraId="6C45E34B" w14:textId="77777777" w:rsidR="009A5A2E" w:rsidRDefault="009A5A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502DA0E4" w14:textId="77777777" w:rsidR="009A5A2E" w:rsidRDefault="009A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E3D7" w14:textId="77777777" w:rsidR="00BC16FB" w:rsidRDefault="00BC16FB">
      <w:pPr>
        <w:spacing w:after="0" w:line="240" w:lineRule="auto"/>
      </w:pPr>
      <w:r>
        <w:separator/>
      </w:r>
    </w:p>
  </w:footnote>
  <w:footnote w:type="continuationSeparator" w:id="0">
    <w:p w14:paraId="76AE7A7B" w14:textId="77777777" w:rsidR="00BC16FB" w:rsidRDefault="00BC1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D617" w14:textId="77777777" w:rsidR="009A5A2E" w:rsidRPr="00621869" w:rsidRDefault="009A5A2E">
    <w:pPr>
      <w:pStyle w:val="Header"/>
      <w:rPr>
        <w:rFonts w:ascii="Arial" w:hAnsi="Arial" w:cs="Arial"/>
        <w:b/>
        <w:bCs/>
        <w:lang w:val="en-PH"/>
      </w:rPr>
    </w:pPr>
    <w:r>
      <w:rPr>
        <w:rFonts w:ascii="Arial" w:hAnsi="Arial" w:cs="Arial"/>
        <w:b/>
        <w:bCs/>
        <w:lang w:val="en-PH"/>
      </w:rPr>
      <w:t>Prescribed template for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3B3"/>
    <w:multiLevelType w:val="hybridMultilevel"/>
    <w:tmpl w:val="7CA07904"/>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1" w15:restartNumberingAfterBreak="0">
    <w:nsid w:val="12836F2E"/>
    <w:multiLevelType w:val="hybridMultilevel"/>
    <w:tmpl w:val="3834ABD4"/>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CE62B11"/>
    <w:multiLevelType w:val="hybridMultilevel"/>
    <w:tmpl w:val="BEBCDBD6"/>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3" w15:restartNumberingAfterBreak="0">
    <w:nsid w:val="350831FA"/>
    <w:multiLevelType w:val="hybridMultilevel"/>
    <w:tmpl w:val="EAC04E94"/>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4" w15:restartNumberingAfterBreak="0">
    <w:nsid w:val="41BE50CE"/>
    <w:multiLevelType w:val="hybridMultilevel"/>
    <w:tmpl w:val="840892E6"/>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45313940"/>
    <w:multiLevelType w:val="hybridMultilevel"/>
    <w:tmpl w:val="1078338E"/>
    <w:lvl w:ilvl="0" w:tplc="F76A3E00">
      <w:start w:val="1"/>
      <w:numFmt w:val="lowerRoman"/>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77611EB6"/>
    <w:multiLevelType w:val="hybridMultilevel"/>
    <w:tmpl w:val="EA06A7A4"/>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num w:numId="1" w16cid:durableId="1169294299">
    <w:abstractNumId w:val="6"/>
  </w:num>
  <w:num w:numId="2" w16cid:durableId="358093641">
    <w:abstractNumId w:val="2"/>
  </w:num>
  <w:num w:numId="3" w16cid:durableId="598105614">
    <w:abstractNumId w:val="4"/>
  </w:num>
  <w:num w:numId="4" w16cid:durableId="169296185">
    <w:abstractNumId w:val="1"/>
  </w:num>
  <w:num w:numId="5" w16cid:durableId="1293092460">
    <w:abstractNumId w:val="3"/>
  </w:num>
  <w:num w:numId="6" w16cid:durableId="94793067">
    <w:abstractNumId w:val="5"/>
  </w:num>
  <w:num w:numId="7" w16cid:durableId="75616870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za G. Garcia">
    <w15:presenceInfo w15:providerId="AD" w15:userId="S::rggarcia@doe.gov.ph::bf582ac3-1c1b-4eb9-95bb-c2a666073116"/>
  </w15:person>
  <w15:person w15:author="Asec. Mylene C. Capongcol">
    <w15:presenceInfo w15:providerId="None" w15:userId="Asec. Mylene C. Capongcol"/>
  </w15:person>
  <w15:person w15:author="Edward V. Neri">
    <w15:presenceInfo w15:providerId="AD" w15:userId="S::evneri@doe.gov.ph::713311d1-160e-449a-9681-dd3c4bb65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23"/>
    <w:rsid w:val="00023342"/>
    <w:rsid w:val="00042035"/>
    <w:rsid w:val="000525B1"/>
    <w:rsid w:val="0006156D"/>
    <w:rsid w:val="00062370"/>
    <w:rsid w:val="00074573"/>
    <w:rsid w:val="000A23AC"/>
    <w:rsid w:val="000B2C94"/>
    <w:rsid w:val="000C531E"/>
    <w:rsid w:val="000D0425"/>
    <w:rsid w:val="000D682E"/>
    <w:rsid w:val="000D75CB"/>
    <w:rsid w:val="000E386C"/>
    <w:rsid w:val="000E60D4"/>
    <w:rsid w:val="001051C7"/>
    <w:rsid w:val="001250CE"/>
    <w:rsid w:val="0016580B"/>
    <w:rsid w:val="0017218C"/>
    <w:rsid w:val="00180DAD"/>
    <w:rsid w:val="001823E6"/>
    <w:rsid w:val="0019576D"/>
    <w:rsid w:val="001A5206"/>
    <w:rsid w:val="001C52EE"/>
    <w:rsid w:val="001D1072"/>
    <w:rsid w:val="001D7C51"/>
    <w:rsid w:val="001E3CF4"/>
    <w:rsid w:val="001F7466"/>
    <w:rsid w:val="00200826"/>
    <w:rsid w:val="00223589"/>
    <w:rsid w:val="00240B01"/>
    <w:rsid w:val="002550B6"/>
    <w:rsid w:val="00260B80"/>
    <w:rsid w:val="00261898"/>
    <w:rsid w:val="00263870"/>
    <w:rsid w:val="00264230"/>
    <w:rsid w:val="00267D73"/>
    <w:rsid w:val="00272052"/>
    <w:rsid w:val="00291FE1"/>
    <w:rsid w:val="002928EB"/>
    <w:rsid w:val="002A07D0"/>
    <w:rsid w:val="002A40E3"/>
    <w:rsid w:val="002D102C"/>
    <w:rsid w:val="002E383A"/>
    <w:rsid w:val="002F6EA0"/>
    <w:rsid w:val="00321656"/>
    <w:rsid w:val="003232B2"/>
    <w:rsid w:val="00326465"/>
    <w:rsid w:val="00336EBD"/>
    <w:rsid w:val="003433B9"/>
    <w:rsid w:val="00377AFE"/>
    <w:rsid w:val="00386603"/>
    <w:rsid w:val="003A4F3D"/>
    <w:rsid w:val="003B475C"/>
    <w:rsid w:val="003B4A7A"/>
    <w:rsid w:val="003C2B98"/>
    <w:rsid w:val="003E2992"/>
    <w:rsid w:val="004063F1"/>
    <w:rsid w:val="00412697"/>
    <w:rsid w:val="00435829"/>
    <w:rsid w:val="00442757"/>
    <w:rsid w:val="00453864"/>
    <w:rsid w:val="00463E45"/>
    <w:rsid w:val="0047501A"/>
    <w:rsid w:val="004937C6"/>
    <w:rsid w:val="004A70B5"/>
    <w:rsid w:val="004C1C60"/>
    <w:rsid w:val="004D133F"/>
    <w:rsid w:val="004D24C6"/>
    <w:rsid w:val="004E4F53"/>
    <w:rsid w:val="004E5246"/>
    <w:rsid w:val="004F21D3"/>
    <w:rsid w:val="0050398B"/>
    <w:rsid w:val="0050576D"/>
    <w:rsid w:val="0050795A"/>
    <w:rsid w:val="005113BE"/>
    <w:rsid w:val="00541B3D"/>
    <w:rsid w:val="00546618"/>
    <w:rsid w:val="005866BB"/>
    <w:rsid w:val="0059207F"/>
    <w:rsid w:val="00593BE5"/>
    <w:rsid w:val="005A0E10"/>
    <w:rsid w:val="005C3917"/>
    <w:rsid w:val="005C54C7"/>
    <w:rsid w:val="005D4F28"/>
    <w:rsid w:val="005E4EF8"/>
    <w:rsid w:val="005F3FAB"/>
    <w:rsid w:val="005F45B3"/>
    <w:rsid w:val="0062285D"/>
    <w:rsid w:val="00624D4E"/>
    <w:rsid w:val="00642F03"/>
    <w:rsid w:val="00645D9B"/>
    <w:rsid w:val="006665D9"/>
    <w:rsid w:val="006737B8"/>
    <w:rsid w:val="006818EF"/>
    <w:rsid w:val="006B31DE"/>
    <w:rsid w:val="006D0823"/>
    <w:rsid w:val="007114FF"/>
    <w:rsid w:val="00717540"/>
    <w:rsid w:val="00730BE1"/>
    <w:rsid w:val="0074037E"/>
    <w:rsid w:val="0074544F"/>
    <w:rsid w:val="00747398"/>
    <w:rsid w:val="007533E6"/>
    <w:rsid w:val="0078226B"/>
    <w:rsid w:val="007906ED"/>
    <w:rsid w:val="007946DF"/>
    <w:rsid w:val="007B72D6"/>
    <w:rsid w:val="007D5501"/>
    <w:rsid w:val="007E5139"/>
    <w:rsid w:val="007F155E"/>
    <w:rsid w:val="007F3F31"/>
    <w:rsid w:val="007F50FF"/>
    <w:rsid w:val="007F5922"/>
    <w:rsid w:val="007F722C"/>
    <w:rsid w:val="00832E55"/>
    <w:rsid w:val="00841584"/>
    <w:rsid w:val="0084332F"/>
    <w:rsid w:val="00845FA5"/>
    <w:rsid w:val="00846946"/>
    <w:rsid w:val="008611A3"/>
    <w:rsid w:val="00870B36"/>
    <w:rsid w:val="00872FEA"/>
    <w:rsid w:val="0087327F"/>
    <w:rsid w:val="008A28AB"/>
    <w:rsid w:val="008B11AC"/>
    <w:rsid w:val="008B3952"/>
    <w:rsid w:val="008B6A5F"/>
    <w:rsid w:val="008C4D20"/>
    <w:rsid w:val="008C7273"/>
    <w:rsid w:val="008E2DA8"/>
    <w:rsid w:val="008F6326"/>
    <w:rsid w:val="0093203B"/>
    <w:rsid w:val="009365A4"/>
    <w:rsid w:val="00953222"/>
    <w:rsid w:val="00963305"/>
    <w:rsid w:val="00972337"/>
    <w:rsid w:val="00982A93"/>
    <w:rsid w:val="00984C69"/>
    <w:rsid w:val="009A5A2E"/>
    <w:rsid w:val="00A117B9"/>
    <w:rsid w:val="00A16188"/>
    <w:rsid w:val="00A24825"/>
    <w:rsid w:val="00A27916"/>
    <w:rsid w:val="00A27F73"/>
    <w:rsid w:val="00A3518B"/>
    <w:rsid w:val="00A43430"/>
    <w:rsid w:val="00A43F76"/>
    <w:rsid w:val="00A50E0A"/>
    <w:rsid w:val="00A55B9B"/>
    <w:rsid w:val="00A563CF"/>
    <w:rsid w:val="00A57FA7"/>
    <w:rsid w:val="00A76301"/>
    <w:rsid w:val="00A80987"/>
    <w:rsid w:val="00A83541"/>
    <w:rsid w:val="00A97250"/>
    <w:rsid w:val="00AA0394"/>
    <w:rsid w:val="00AB45C1"/>
    <w:rsid w:val="00AC42BB"/>
    <w:rsid w:val="00AE3007"/>
    <w:rsid w:val="00B25CC6"/>
    <w:rsid w:val="00B341F2"/>
    <w:rsid w:val="00B517E9"/>
    <w:rsid w:val="00B55C91"/>
    <w:rsid w:val="00B80B70"/>
    <w:rsid w:val="00B85B38"/>
    <w:rsid w:val="00B9128D"/>
    <w:rsid w:val="00B966FC"/>
    <w:rsid w:val="00BA5771"/>
    <w:rsid w:val="00BA66C4"/>
    <w:rsid w:val="00BC16FB"/>
    <w:rsid w:val="00C01C0C"/>
    <w:rsid w:val="00C25319"/>
    <w:rsid w:val="00C3779F"/>
    <w:rsid w:val="00C71DF0"/>
    <w:rsid w:val="00C7528D"/>
    <w:rsid w:val="00C753A6"/>
    <w:rsid w:val="00C8003F"/>
    <w:rsid w:val="00C96C2E"/>
    <w:rsid w:val="00C96E01"/>
    <w:rsid w:val="00C97D84"/>
    <w:rsid w:val="00C97F67"/>
    <w:rsid w:val="00CA7969"/>
    <w:rsid w:val="00CB0E13"/>
    <w:rsid w:val="00CB5788"/>
    <w:rsid w:val="00CE157A"/>
    <w:rsid w:val="00D1652A"/>
    <w:rsid w:val="00D27D6A"/>
    <w:rsid w:val="00D3482E"/>
    <w:rsid w:val="00D84203"/>
    <w:rsid w:val="00D87E62"/>
    <w:rsid w:val="00DB1236"/>
    <w:rsid w:val="00DB69A1"/>
    <w:rsid w:val="00DC556E"/>
    <w:rsid w:val="00DE116F"/>
    <w:rsid w:val="00DE1906"/>
    <w:rsid w:val="00DF32E8"/>
    <w:rsid w:val="00E01D16"/>
    <w:rsid w:val="00E109D1"/>
    <w:rsid w:val="00E16BB0"/>
    <w:rsid w:val="00E217FF"/>
    <w:rsid w:val="00E25F78"/>
    <w:rsid w:val="00E2691E"/>
    <w:rsid w:val="00E40BE3"/>
    <w:rsid w:val="00E716AF"/>
    <w:rsid w:val="00E73808"/>
    <w:rsid w:val="00E73932"/>
    <w:rsid w:val="00E772BA"/>
    <w:rsid w:val="00E9051F"/>
    <w:rsid w:val="00EA31E8"/>
    <w:rsid w:val="00EA4013"/>
    <w:rsid w:val="00EB5147"/>
    <w:rsid w:val="00EE1E0D"/>
    <w:rsid w:val="00F172D9"/>
    <w:rsid w:val="00F405C8"/>
    <w:rsid w:val="00F407F5"/>
    <w:rsid w:val="00F53E47"/>
    <w:rsid w:val="00F579C8"/>
    <w:rsid w:val="00F7113A"/>
    <w:rsid w:val="00F7230A"/>
    <w:rsid w:val="00F75D46"/>
    <w:rsid w:val="00F8628E"/>
    <w:rsid w:val="00F94E90"/>
    <w:rsid w:val="00F96BAC"/>
    <w:rsid w:val="00FA0C85"/>
    <w:rsid w:val="00FB4D3A"/>
    <w:rsid w:val="00FC3605"/>
    <w:rsid w:val="00FD090E"/>
    <w:rsid w:val="00FD3382"/>
    <w:rsid w:val="00FD7587"/>
    <w:rsid w:val="00FF5F81"/>
    <w:rsid w:val="00FF69E6"/>
    <w:rsid w:val="0A600340"/>
    <w:rsid w:val="156BF109"/>
    <w:rsid w:val="1BE8188C"/>
    <w:rsid w:val="37BE9937"/>
    <w:rsid w:val="422A5FBE"/>
    <w:rsid w:val="46901E9D"/>
    <w:rsid w:val="53F20A3E"/>
    <w:rsid w:val="5BA71E5B"/>
    <w:rsid w:val="5F9723B0"/>
    <w:rsid w:val="638F771D"/>
    <w:rsid w:val="6D3579BE"/>
    <w:rsid w:val="72AC34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FE4C"/>
  <w15:chartTrackingRefBased/>
  <w15:docId w15:val="{5E4FB6D4-E4E6-4479-98F2-C650185D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23"/>
  </w:style>
  <w:style w:type="paragraph" w:styleId="Heading3">
    <w:name w:val="heading 3"/>
    <w:basedOn w:val="Normal"/>
    <w:next w:val="Normal"/>
    <w:link w:val="Heading3Char"/>
    <w:uiPriority w:val="9"/>
    <w:unhideWhenUsed/>
    <w:qFormat/>
    <w:rsid w:val="002550B6"/>
    <w:pPr>
      <w:spacing w:before="240" w:after="240" w:line="240" w:lineRule="auto"/>
      <w:ind w:left="603" w:hanging="425"/>
      <w:outlineLvl w:val="2"/>
    </w:pPr>
    <w:rPr>
      <w:rFonts w:ascii="Helvetica Neue" w:eastAsia="Helvetica Neue" w:hAnsi="Helvetica Neue" w:cs="Helvetica Neu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lp1,List Paragraph1,List Paragraph11"/>
    <w:basedOn w:val="Normal"/>
    <w:link w:val="ListParagraphChar"/>
    <w:uiPriority w:val="34"/>
    <w:qFormat/>
    <w:rsid w:val="006D0823"/>
    <w:pPr>
      <w:ind w:left="720"/>
      <w:contextualSpacing/>
    </w:pPr>
    <w:rPr>
      <w:lang w:val="en-US"/>
    </w:rPr>
  </w:style>
  <w:style w:type="character" w:customStyle="1" w:styleId="ListParagraphChar">
    <w:name w:val="List Paragraph Char"/>
    <w:aliases w:val="He Char,lp1 Char,List Paragraph1 Char,List Paragraph11 Char"/>
    <w:basedOn w:val="DefaultParagraphFont"/>
    <w:link w:val="ListParagraph"/>
    <w:uiPriority w:val="34"/>
    <w:rsid w:val="006D0823"/>
    <w:rPr>
      <w:lang w:val="en-US"/>
    </w:rPr>
  </w:style>
  <w:style w:type="paragraph" w:styleId="Header">
    <w:name w:val="header"/>
    <w:basedOn w:val="Normal"/>
    <w:link w:val="HeaderChar"/>
    <w:uiPriority w:val="99"/>
    <w:unhideWhenUsed/>
    <w:rsid w:val="006D082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D0823"/>
    <w:rPr>
      <w:lang w:val="en-US"/>
    </w:rPr>
  </w:style>
  <w:style w:type="paragraph" w:styleId="Footer">
    <w:name w:val="footer"/>
    <w:basedOn w:val="Normal"/>
    <w:link w:val="FooterChar"/>
    <w:uiPriority w:val="99"/>
    <w:unhideWhenUsed/>
    <w:rsid w:val="006D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823"/>
  </w:style>
  <w:style w:type="paragraph" w:customStyle="1" w:styleId="Default">
    <w:name w:val="Default"/>
    <w:rsid w:val="0062285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2F6EA0"/>
    <w:pPr>
      <w:widowControl w:val="0"/>
      <w:autoSpaceDE w:val="0"/>
      <w:autoSpaceDN w:val="0"/>
      <w:spacing w:before="19" w:after="0" w:line="240" w:lineRule="auto"/>
      <w:ind w:left="33"/>
    </w:pPr>
    <w:rPr>
      <w:rFonts w:ascii="Arial" w:eastAsia="Arial" w:hAnsi="Arial" w:cs="Arial"/>
      <w:lang w:val="en-US" w:bidi="en-US"/>
    </w:rPr>
  </w:style>
  <w:style w:type="paragraph" w:styleId="Subtitle">
    <w:name w:val="Subtitle"/>
    <w:basedOn w:val="Normal"/>
    <w:next w:val="Normal"/>
    <w:link w:val="SubtitleChar"/>
    <w:uiPriority w:val="11"/>
    <w:qFormat/>
    <w:rsid w:val="009365A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365A4"/>
    <w:rPr>
      <w:rFonts w:ascii="Georgia" w:eastAsia="Georgia" w:hAnsi="Georgia" w:cs="Georgia"/>
      <w:i/>
      <w:color w:val="666666"/>
      <w:sz w:val="48"/>
      <w:szCs w:val="48"/>
    </w:rPr>
  </w:style>
  <w:style w:type="character" w:customStyle="1" w:styleId="Heading3Char">
    <w:name w:val="Heading 3 Char"/>
    <w:basedOn w:val="DefaultParagraphFont"/>
    <w:link w:val="Heading3"/>
    <w:uiPriority w:val="9"/>
    <w:rsid w:val="002550B6"/>
    <w:rPr>
      <w:rFonts w:ascii="Helvetica Neue" w:eastAsia="Helvetica Neue" w:hAnsi="Helvetica Neue" w:cs="Helvetica Neue"/>
      <w:sz w:val="24"/>
      <w:szCs w:val="24"/>
    </w:rPr>
  </w:style>
  <w:style w:type="paragraph" w:styleId="FootnoteText">
    <w:name w:val="footnote text"/>
    <w:basedOn w:val="Normal"/>
    <w:link w:val="FootnoteTextChar"/>
    <w:uiPriority w:val="99"/>
    <w:semiHidden/>
    <w:unhideWhenUsed/>
    <w:rsid w:val="00C97D84"/>
    <w:pPr>
      <w:widowControl w:val="0"/>
      <w:spacing w:after="0" w:line="240" w:lineRule="auto"/>
    </w:pPr>
    <w:rPr>
      <w:rFonts w:ascii="Verdana" w:eastAsia="Verdana" w:hAnsi="Verdana" w:cs="Verdana"/>
      <w:sz w:val="20"/>
      <w:szCs w:val="20"/>
      <w:lang w:val="en-US" w:eastAsia="en-SG"/>
    </w:rPr>
  </w:style>
  <w:style w:type="character" w:customStyle="1" w:styleId="FootnoteTextChar">
    <w:name w:val="Footnote Text Char"/>
    <w:basedOn w:val="DefaultParagraphFont"/>
    <w:link w:val="FootnoteText"/>
    <w:uiPriority w:val="99"/>
    <w:semiHidden/>
    <w:rsid w:val="00C97D84"/>
    <w:rPr>
      <w:rFonts w:ascii="Verdana" w:eastAsia="Verdana" w:hAnsi="Verdana" w:cs="Verdana"/>
      <w:sz w:val="20"/>
      <w:szCs w:val="20"/>
      <w:lang w:val="en-US" w:eastAsia="en-SG"/>
    </w:rPr>
  </w:style>
  <w:style w:type="character" w:styleId="FootnoteReference">
    <w:name w:val="footnote reference"/>
    <w:basedOn w:val="DefaultParagraphFont"/>
    <w:uiPriority w:val="99"/>
    <w:semiHidden/>
    <w:unhideWhenUsed/>
    <w:rsid w:val="00C97D84"/>
    <w:rPr>
      <w:vertAlign w:val="superscript"/>
    </w:rPr>
  </w:style>
  <w:style w:type="paragraph" w:customStyle="1" w:styleId="p2">
    <w:name w:val="p2"/>
    <w:rsid w:val="00D87E62"/>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D87E6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character" w:styleId="CommentReference">
    <w:name w:val="annotation reference"/>
    <w:basedOn w:val="DefaultParagraphFont"/>
    <w:uiPriority w:val="99"/>
    <w:semiHidden/>
    <w:unhideWhenUsed/>
    <w:rsid w:val="007F5922"/>
    <w:rPr>
      <w:sz w:val="16"/>
      <w:szCs w:val="16"/>
    </w:rPr>
  </w:style>
  <w:style w:type="paragraph" w:styleId="CommentText">
    <w:name w:val="annotation text"/>
    <w:basedOn w:val="Normal"/>
    <w:link w:val="CommentTextChar"/>
    <w:uiPriority w:val="99"/>
    <w:unhideWhenUsed/>
    <w:rsid w:val="007F5922"/>
    <w:pPr>
      <w:spacing w:line="240" w:lineRule="auto"/>
    </w:pPr>
    <w:rPr>
      <w:sz w:val="20"/>
      <w:szCs w:val="20"/>
    </w:rPr>
  </w:style>
  <w:style w:type="character" w:customStyle="1" w:styleId="CommentTextChar">
    <w:name w:val="Comment Text Char"/>
    <w:basedOn w:val="DefaultParagraphFont"/>
    <w:link w:val="CommentText"/>
    <w:uiPriority w:val="99"/>
    <w:rsid w:val="007F5922"/>
    <w:rPr>
      <w:sz w:val="20"/>
      <w:szCs w:val="20"/>
    </w:rPr>
  </w:style>
  <w:style w:type="paragraph" w:styleId="NormalWeb">
    <w:name w:val="Normal (Web)"/>
    <w:basedOn w:val="Normal"/>
    <w:uiPriority w:val="99"/>
    <w:unhideWhenUsed/>
    <w:rsid w:val="007F5922"/>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40">
      <w:bodyDiv w:val="1"/>
      <w:marLeft w:val="0"/>
      <w:marRight w:val="0"/>
      <w:marTop w:val="0"/>
      <w:marBottom w:val="0"/>
      <w:divBdr>
        <w:top w:val="none" w:sz="0" w:space="0" w:color="auto"/>
        <w:left w:val="none" w:sz="0" w:space="0" w:color="auto"/>
        <w:bottom w:val="none" w:sz="0" w:space="0" w:color="auto"/>
        <w:right w:val="none" w:sz="0" w:space="0" w:color="auto"/>
      </w:divBdr>
    </w:div>
    <w:div w:id="420756259">
      <w:bodyDiv w:val="1"/>
      <w:marLeft w:val="0"/>
      <w:marRight w:val="0"/>
      <w:marTop w:val="0"/>
      <w:marBottom w:val="0"/>
      <w:divBdr>
        <w:top w:val="none" w:sz="0" w:space="0" w:color="auto"/>
        <w:left w:val="none" w:sz="0" w:space="0" w:color="auto"/>
        <w:bottom w:val="none" w:sz="0" w:space="0" w:color="auto"/>
        <w:right w:val="none" w:sz="0" w:space="0" w:color="auto"/>
      </w:divBdr>
    </w:div>
    <w:div w:id="544174764">
      <w:bodyDiv w:val="1"/>
      <w:marLeft w:val="0"/>
      <w:marRight w:val="0"/>
      <w:marTop w:val="0"/>
      <w:marBottom w:val="0"/>
      <w:divBdr>
        <w:top w:val="none" w:sz="0" w:space="0" w:color="auto"/>
        <w:left w:val="none" w:sz="0" w:space="0" w:color="auto"/>
        <w:bottom w:val="none" w:sz="0" w:space="0" w:color="auto"/>
        <w:right w:val="none" w:sz="0" w:space="0" w:color="auto"/>
      </w:divBdr>
    </w:div>
    <w:div w:id="550268306">
      <w:bodyDiv w:val="1"/>
      <w:marLeft w:val="0"/>
      <w:marRight w:val="0"/>
      <w:marTop w:val="0"/>
      <w:marBottom w:val="0"/>
      <w:divBdr>
        <w:top w:val="none" w:sz="0" w:space="0" w:color="auto"/>
        <w:left w:val="none" w:sz="0" w:space="0" w:color="auto"/>
        <w:bottom w:val="none" w:sz="0" w:space="0" w:color="auto"/>
        <w:right w:val="none" w:sz="0" w:space="0" w:color="auto"/>
      </w:divBdr>
    </w:div>
    <w:div w:id="20599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39CD-CAB6-40D4-B208-878F02EF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Ruselle V. Castronuevo</cp:lastModifiedBy>
  <cp:revision>3</cp:revision>
  <dcterms:created xsi:type="dcterms:W3CDTF">2023-01-06T01:33:00Z</dcterms:created>
  <dcterms:modified xsi:type="dcterms:W3CDTF">2023-01-06T01:52:00Z</dcterms:modified>
</cp:coreProperties>
</file>